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474537">
      <w:pPr>
        <w:spacing w:line="540" w:lineRule="exact"/>
        <w:jc w:val="center"/>
        <w:rPr>
          <w:rFonts w:hint="eastAsia" w:ascii="宋体" w:hAnsi="宋体" w:eastAsia="宋体" w:cs="宋体"/>
          <w:b/>
          <w:kern w:val="0"/>
          <w:sz w:val="52"/>
          <w:szCs w:val="52"/>
        </w:rPr>
      </w:pPr>
    </w:p>
    <w:p w14:paraId="43A40DFE">
      <w:pPr>
        <w:spacing w:line="540" w:lineRule="exact"/>
        <w:jc w:val="center"/>
        <w:rPr>
          <w:rFonts w:hint="eastAsia" w:ascii="宋体" w:hAnsi="宋体" w:eastAsia="宋体" w:cs="宋体"/>
          <w:b/>
          <w:kern w:val="0"/>
          <w:sz w:val="52"/>
          <w:szCs w:val="52"/>
        </w:rPr>
      </w:pPr>
    </w:p>
    <w:p w14:paraId="231EF5AF">
      <w:pPr>
        <w:spacing w:line="540" w:lineRule="exact"/>
        <w:jc w:val="center"/>
        <w:rPr>
          <w:rFonts w:hint="eastAsia" w:ascii="宋体" w:hAnsi="宋体" w:eastAsia="宋体" w:cs="宋体"/>
          <w:b/>
          <w:kern w:val="0"/>
          <w:sz w:val="52"/>
          <w:szCs w:val="52"/>
        </w:rPr>
      </w:pPr>
    </w:p>
    <w:p w14:paraId="6E5902DB">
      <w:pPr>
        <w:spacing w:line="540" w:lineRule="exact"/>
        <w:jc w:val="center"/>
        <w:rPr>
          <w:rFonts w:hint="eastAsia" w:ascii="宋体" w:hAnsi="宋体" w:eastAsia="宋体" w:cs="宋体"/>
          <w:b/>
          <w:kern w:val="0"/>
          <w:sz w:val="52"/>
          <w:szCs w:val="52"/>
        </w:rPr>
      </w:pPr>
    </w:p>
    <w:p w14:paraId="13FA110A">
      <w:pPr>
        <w:spacing w:line="540" w:lineRule="exact"/>
        <w:jc w:val="center"/>
        <w:rPr>
          <w:rFonts w:hint="eastAsia" w:ascii="宋体" w:hAnsi="宋体" w:eastAsia="宋体" w:cs="宋体"/>
          <w:b/>
          <w:kern w:val="0"/>
          <w:sz w:val="52"/>
          <w:szCs w:val="52"/>
        </w:rPr>
      </w:pPr>
    </w:p>
    <w:p w14:paraId="69EE470C">
      <w:pPr>
        <w:spacing w:line="540" w:lineRule="exact"/>
        <w:jc w:val="center"/>
        <w:rPr>
          <w:rFonts w:hint="eastAsia" w:ascii="宋体" w:hAnsi="宋体" w:eastAsia="宋体" w:cs="宋体"/>
          <w:b/>
          <w:kern w:val="0"/>
          <w:sz w:val="48"/>
          <w:szCs w:val="48"/>
        </w:rPr>
      </w:pPr>
      <w:r>
        <w:rPr>
          <w:rFonts w:hint="eastAsia" w:ascii="宋体" w:hAnsi="宋体" w:eastAsia="宋体" w:cs="宋体"/>
          <w:b/>
          <w:kern w:val="0"/>
          <w:sz w:val="48"/>
          <w:szCs w:val="48"/>
        </w:rPr>
        <w:t>项目支出绩效评价报告</w:t>
      </w:r>
    </w:p>
    <w:p w14:paraId="7B6BF166">
      <w:pPr>
        <w:spacing w:line="540" w:lineRule="exact"/>
        <w:jc w:val="center"/>
        <w:rPr>
          <w:rFonts w:hint="eastAsia" w:ascii="宋体" w:hAnsi="宋体" w:eastAsia="宋体" w:cs="宋体"/>
          <w:b/>
          <w:kern w:val="0"/>
          <w:sz w:val="52"/>
          <w:szCs w:val="52"/>
        </w:rPr>
      </w:pPr>
    </w:p>
    <w:p w14:paraId="5F830792">
      <w:pPr>
        <w:spacing w:line="540" w:lineRule="exact"/>
        <w:jc w:val="center"/>
        <w:rPr>
          <w:rFonts w:hint="eastAsia" w:ascii="宋体" w:hAnsi="宋体" w:eastAsia="宋体" w:cs="宋体"/>
          <w:kern w:val="0"/>
          <w:sz w:val="36"/>
          <w:szCs w:val="36"/>
        </w:rPr>
      </w:pPr>
      <w:r>
        <w:rPr>
          <w:rFonts w:hint="eastAsia" w:ascii="宋体" w:hAnsi="宋体" w:eastAsia="宋体" w:cs="宋体"/>
          <w:kern w:val="0"/>
          <w:sz w:val="36"/>
          <w:szCs w:val="36"/>
        </w:rPr>
        <w:t>（2019年度）</w:t>
      </w:r>
    </w:p>
    <w:p w14:paraId="429FF365">
      <w:pPr>
        <w:spacing w:line="540" w:lineRule="exact"/>
        <w:jc w:val="center"/>
        <w:rPr>
          <w:rFonts w:hint="eastAsia" w:ascii="宋体" w:hAnsi="宋体" w:eastAsia="宋体" w:cs="宋体"/>
          <w:kern w:val="0"/>
          <w:sz w:val="30"/>
          <w:szCs w:val="30"/>
        </w:rPr>
      </w:pPr>
    </w:p>
    <w:p w14:paraId="6FE2F78B">
      <w:pPr>
        <w:spacing w:line="540" w:lineRule="exact"/>
        <w:jc w:val="center"/>
        <w:rPr>
          <w:rFonts w:hint="eastAsia" w:ascii="宋体" w:hAnsi="宋体" w:eastAsia="宋体" w:cs="宋体"/>
          <w:kern w:val="0"/>
          <w:sz w:val="30"/>
          <w:szCs w:val="30"/>
        </w:rPr>
      </w:pPr>
    </w:p>
    <w:p w14:paraId="70E48B47">
      <w:pPr>
        <w:spacing w:line="540" w:lineRule="exact"/>
        <w:jc w:val="center"/>
        <w:rPr>
          <w:rFonts w:hint="eastAsia" w:ascii="宋体" w:hAnsi="宋体" w:eastAsia="宋体" w:cs="宋体"/>
          <w:kern w:val="0"/>
          <w:sz w:val="30"/>
          <w:szCs w:val="30"/>
        </w:rPr>
      </w:pPr>
    </w:p>
    <w:p w14:paraId="72AAA4D9">
      <w:pPr>
        <w:spacing w:line="540" w:lineRule="exact"/>
        <w:jc w:val="center"/>
        <w:rPr>
          <w:rFonts w:hint="eastAsia" w:ascii="宋体" w:hAnsi="宋体" w:eastAsia="宋体" w:cs="宋体"/>
          <w:kern w:val="0"/>
          <w:sz w:val="30"/>
          <w:szCs w:val="30"/>
        </w:rPr>
      </w:pPr>
    </w:p>
    <w:p w14:paraId="2D6788AE">
      <w:pPr>
        <w:spacing w:line="540" w:lineRule="exact"/>
        <w:jc w:val="center"/>
        <w:rPr>
          <w:rFonts w:hint="eastAsia" w:ascii="宋体" w:hAnsi="宋体" w:eastAsia="宋体" w:cs="宋体"/>
          <w:kern w:val="0"/>
          <w:sz w:val="30"/>
          <w:szCs w:val="30"/>
        </w:rPr>
      </w:pPr>
    </w:p>
    <w:p w14:paraId="14794CAF">
      <w:pPr>
        <w:spacing w:line="540" w:lineRule="exact"/>
        <w:jc w:val="center"/>
        <w:rPr>
          <w:rFonts w:hint="eastAsia" w:ascii="宋体" w:hAnsi="宋体" w:eastAsia="宋体" w:cs="宋体"/>
          <w:kern w:val="0"/>
          <w:sz w:val="30"/>
          <w:szCs w:val="30"/>
        </w:rPr>
      </w:pPr>
    </w:p>
    <w:p w14:paraId="0DF11852">
      <w:pPr>
        <w:spacing w:line="540" w:lineRule="exact"/>
        <w:rPr>
          <w:rFonts w:hint="eastAsia" w:ascii="宋体" w:hAnsi="宋体" w:eastAsia="宋体" w:cs="宋体"/>
          <w:kern w:val="0"/>
          <w:sz w:val="30"/>
          <w:szCs w:val="30"/>
        </w:rPr>
      </w:pPr>
    </w:p>
    <w:p w14:paraId="69164557">
      <w:pPr>
        <w:spacing w:line="700" w:lineRule="exact"/>
        <w:ind w:left="2820" w:leftChars="400" w:hanging="1980" w:hangingChars="550"/>
        <w:jc w:val="left"/>
        <w:rPr>
          <w:rFonts w:hint="eastAsia" w:ascii="宋体" w:hAnsi="宋体" w:eastAsia="宋体" w:cs="宋体"/>
          <w:kern w:val="0"/>
          <w:sz w:val="36"/>
          <w:szCs w:val="36"/>
          <w:lang w:val="en-US" w:eastAsia="zh-CN"/>
        </w:rPr>
      </w:pPr>
      <w:r>
        <w:rPr>
          <w:rFonts w:hint="eastAsia" w:ascii="宋体" w:hAnsi="宋体" w:eastAsia="宋体" w:cs="宋体"/>
          <w:kern w:val="0"/>
          <w:sz w:val="36"/>
          <w:szCs w:val="36"/>
        </w:rPr>
        <w:t>项目名称：</w:t>
      </w:r>
      <w:r>
        <w:rPr>
          <w:rFonts w:hint="eastAsia" w:ascii="宋体" w:hAnsi="宋体" w:eastAsia="宋体" w:cs="宋体"/>
          <w:kern w:val="0"/>
          <w:sz w:val="36"/>
          <w:szCs w:val="36"/>
          <w:lang w:eastAsia="zh-CN"/>
        </w:rPr>
        <w:t>地质勘探基金项目</w:t>
      </w:r>
    </w:p>
    <w:p w14:paraId="7304FABE">
      <w:pPr>
        <w:spacing w:line="700" w:lineRule="exact"/>
        <w:ind w:left="4440" w:leftChars="400" w:hanging="3600" w:hangingChars="1000"/>
        <w:jc w:val="left"/>
        <w:rPr>
          <w:rFonts w:hint="eastAsia" w:ascii="宋体" w:hAnsi="宋体" w:eastAsia="宋体" w:cs="宋体"/>
          <w:kern w:val="0"/>
          <w:sz w:val="32"/>
          <w:szCs w:val="32"/>
        </w:rPr>
      </w:pPr>
      <w:r>
        <w:rPr>
          <w:rFonts w:hint="eastAsia" w:ascii="宋体" w:hAnsi="宋体" w:eastAsia="宋体" w:cs="宋体"/>
          <w:kern w:val="0"/>
          <w:sz w:val="36"/>
          <w:szCs w:val="36"/>
        </w:rPr>
        <w:t>实施单位（公章）：</w:t>
      </w:r>
      <w:r>
        <w:rPr>
          <w:rFonts w:hint="eastAsia" w:ascii="宋体" w:hAnsi="宋体" w:eastAsia="宋体" w:cs="宋体"/>
          <w:kern w:val="0"/>
          <w:sz w:val="32"/>
          <w:szCs w:val="32"/>
        </w:rPr>
        <w:t>新疆维吾尔自治区煤田地质局一六一煤田地质勘探队</w:t>
      </w:r>
    </w:p>
    <w:p w14:paraId="21F08FF3">
      <w:pPr>
        <w:spacing w:line="700" w:lineRule="exact"/>
        <w:ind w:left="4336" w:leftChars="436" w:hanging="3420" w:hangingChars="950"/>
        <w:jc w:val="left"/>
        <w:rPr>
          <w:rFonts w:hint="eastAsia" w:ascii="宋体" w:hAnsi="宋体" w:eastAsia="宋体" w:cs="宋体"/>
          <w:kern w:val="0"/>
          <w:sz w:val="36"/>
          <w:szCs w:val="36"/>
        </w:rPr>
      </w:pPr>
      <w:r>
        <w:rPr>
          <w:rFonts w:hint="eastAsia" w:ascii="宋体" w:hAnsi="宋体" w:eastAsia="宋体" w:cs="宋体"/>
          <w:kern w:val="0"/>
          <w:sz w:val="36"/>
          <w:szCs w:val="36"/>
        </w:rPr>
        <w:t>主管部门（公章）：</w:t>
      </w:r>
      <w:r>
        <w:rPr>
          <w:rFonts w:hint="eastAsia" w:ascii="宋体" w:hAnsi="宋体" w:eastAsia="宋体" w:cs="宋体"/>
          <w:kern w:val="0"/>
          <w:sz w:val="32"/>
          <w:szCs w:val="32"/>
        </w:rPr>
        <w:t>新疆维吾尔自治区煤田地质局</w:t>
      </w:r>
    </w:p>
    <w:p w14:paraId="2524107B">
      <w:pPr>
        <w:spacing w:line="700" w:lineRule="exact"/>
        <w:ind w:firstLine="849" w:firstLineChars="236"/>
        <w:jc w:val="left"/>
        <w:rPr>
          <w:rFonts w:hint="eastAsia" w:ascii="宋体" w:hAnsi="宋体" w:eastAsia="宋体" w:cs="宋体"/>
          <w:kern w:val="0"/>
          <w:sz w:val="36"/>
          <w:szCs w:val="36"/>
        </w:rPr>
      </w:pPr>
      <w:r>
        <w:rPr>
          <w:rFonts w:hint="eastAsia" w:ascii="宋体" w:hAnsi="宋体" w:eastAsia="宋体" w:cs="宋体"/>
          <w:kern w:val="0"/>
          <w:sz w:val="36"/>
          <w:szCs w:val="36"/>
        </w:rPr>
        <w:t>项目负责人（签章）：</w:t>
      </w:r>
    </w:p>
    <w:p w14:paraId="5E9E647E">
      <w:pPr>
        <w:spacing w:line="700" w:lineRule="exact"/>
        <w:ind w:firstLine="849" w:firstLineChars="236"/>
        <w:jc w:val="left"/>
        <w:rPr>
          <w:rFonts w:hint="eastAsia" w:ascii="宋体" w:hAnsi="宋体" w:eastAsia="宋体" w:cs="宋体"/>
          <w:kern w:val="0"/>
          <w:sz w:val="36"/>
          <w:szCs w:val="36"/>
        </w:rPr>
      </w:pPr>
      <w:r>
        <w:rPr>
          <w:rFonts w:hint="eastAsia" w:ascii="宋体" w:hAnsi="宋体" w:eastAsia="宋体" w:cs="宋体"/>
          <w:kern w:val="0"/>
          <w:sz w:val="36"/>
          <w:szCs w:val="36"/>
        </w:rPr>
        <w:t>填报时间：2020年</w:t>
      </w:r>
      <w:r>
        <w:rPr>
          <w:rFonts w:hint="eastAsia" w:ascii="宋体" w:hAnsi="宋体" w:cs="宋体"/>
          <w:kern w:val="0"/>
          <w:sz w:val="36"/>
          <w:szCs w:val="36"/>
          <w:lang w:val="en-US" w:eastAsia="zh-CN"/>
        </w:rPr>
        <w:t>5</w:t>
      </w:r>
      <w:r>
        <w:rPr>
          <w:rFonts w:hint="eastAsia" w:ascii="宋体" w:hAnsi="宋体" w:eastAsia="宋体" w:cs="宋体"/>
          <w:kern w:val="0"/>
          <w:sz w:val="36"/>
          <w:szCs w:val="36"/>
        </w:rPr>
        <w:t>月</w:t>
      </w:r>
      <w:r>
        <w:rPr>
          <w:rFonts w:hint="eastAsia" w:ascii="宋体" w:hAnsi="宋体" w:cs="宋体"/>
          <w:kern w:val="0"/>
          <w:sz w:val="36"/>
          <w:szCs w:val="36"/>
          <w:lang w:val="en-US" w:eastAsia="zh-CN"/>
        </w:rPr>
        <w:t>2</w:t>
      </w:r>
      <w:r>
        <w:rPr>
          <w:rFonts w:hint="eastAsia" w:ascii="宋体" w:hAnsi="宋体" w:eastAsia="宋体" w:cs="宋体"/>
          <w:kern w:val="0"/>
          <w:sz w:val="36"/>
          <w:szCs w:val="36"/>
        </w:rPr>
        <w:t>7日</w:t>
      </w:r>
    </w:p>
    <w:p w14:paraId="12B38C56">
      <w:pPr>
        <w:spacing w:line="540" w:lineRule="exact"/>
        <w:jc w:val="center"/>
        <w:rPr>
          <w:rFonts w:hint="eastAsia" w:ascii="宋体" w:hAnsi="宋体" w:eastAsia="宋体" w:cs="宋体"/>
          <w:kern w:val="0"/>
          <w:sz w:val="30"/>
          <w:szCs w:val="30"/>
        </w:rPr>
      </w:pPr>
    </w:p>
    <w:p w14:paraId="48AB3A36">
      <w:pPr>
        <w:spacing w:line="540" w:lineRule="exact"/>
        <w:jc w:val="center"/>
        <w:rPr>
          <w:rFonts w:hint="eastAsia" w:ascii="宋体" w:hAnsi="宋体" w:eastAsia="宋体" w:cs="宋体"/>
          <w:kern w:val="0"/>
          <w:sz w:val="30"/>
          <w:szCs w:val="30"/>
        </w:rPr>
      </w:pPr>
    </w:p>
    <w:p w14:paraId="4A9042BA">
      <w:pPr>
        <w:spacing w:line="540" w:lineRule="exact"/>
        <w:jc w:val="center"/>
        <w:rPr>
          <w:rFonts w:hint="eastAsia" w:ascii="宋体" w:hAnsi="宋体" w:eastAsia="宋体" w:cs="宋体"/>
          <w:kern w:val="0"/>
          <w:sz w:val="30"/>
          <w:szCs w:val="30"/>
        </w:rPr>
      </w:pPr>
    </w:p>
    <w:p w14:paraId="679E51E6">
      <w:pPr>
        <w:spacing w:line="540" w:lineRule="exact"/>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一、基本情况</w:t>
      </w:r>
    </w:p>
    <w:p w14:paraId="56793A86">
      <w:pPr>
        <w:spacing w:line="540" w:lineRule="exact"/>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（一）项目概况（包括项目背景、主要内容及实施情况、资金投入和使用情况等）。</w:t>
      </w:r>
    </w:p>
    <w:p w14:paraId="5886AA7C">
      <w:pPr>
        <w:spacing w:line="540" w:lineRule="exact"/>
        <w:ind w:firstLine="567"/>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1、项目背景：</w:t>
      </w:r>
    </w:p>
    <w:p w14:paraId="35B4097C">
      <w:pPr>
        <w:spacing w:line="360" w:lineRule="auto"/>
        <w:ind w:firstLine="600" w:firstLineChars="200"/>
        <w:rPr>
          <w:rFonts w:hint="eastAsia" w:ascii="宋体" w:hAnsi="宋体" w:eastAsia="宋体" w:cs="宋体"/>
          <w:color w:val="auto"/>
          <w:sz w:val="30"/>
          <w:szCs w:val="30"/>
          <w:lang w:eastAsia="zh-CN"/>
        </w:rPr>
      </w:pPr>
      <w:r>
        <w:rPr>
          <w:rFonts w:hint="eastAsia" w:ascii="宋体" w:hAnsi="宋体" w:eastAsia="宋体" w:cs="宋体"/>
          <w:color w:val="auto"/>
          <w:sz w:val="30"/>
          <w:szCs w:val="30"/>
          <w:lang w:eastAsia="zh-CN"/>
        </w:rPr>
        <w:t>（</w:t>
      </w:r>
      <w:r>
        <w:rPr>
          <w:rFonts w:hint="eastAsia" w:ascii="宋体" w:hAnsi="宋体" w:eastAsia="宋体" w:cs="宋体"/>
          <w:color w:val="auto"/>
          <w:sz w:val="30"/>
          <w:szCs w:val="30"/>
          <w:lang w:val="en-US" w:eastAsia="zh-CN"/>
        </w:rPr>
        <w:t>1</w:t>
      </w:r>
      <w:r>
        <w:rPr>
          <w:rFonts w:hint="eastAsia" w:ascii="宋体" w:hAnsi="宋体" w:eastAsia="宋体" w:cs="宋体"/>
          <w:color w:val="auto"/>
          <w:sz w:val="30"/>
          <w:szCs w:val="30"/>
          <w:lang w:eastAsia="zh-CN"/>
        </w:rPr>
        <w:t>）新疆哈密市三道岭南勘查区(西一区) 煤炭详查　</w:t>
      </w:r>
    </w:p>
    <w:p w14:paraId="4FDB005B">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三道岭南勘查区是近年来新发现的大型整装煤田,其煤田资源量丰、煤质优、开采技术条件简单，可做为重要的煤炭资源开发接替区，但该区勘查程度较低，仅在中部(中区)进行了详查工作，不能满足勘查区总体发展规划对勘查程度的要求。因此国土资源厅委托我队在三道岭南勘查区外围开展煤炭勘查工作，为矿区远景规划及总体发展规划提供地质依据。</w:t>
      </w:r>
    </w:p>
    <w:p w14:paraId="0CB25BAC">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2015年5月，新疆维吾尔自治区国土资源厅下发了中央返还两权价款资金项目任务书，下拨地质勘查经费14738万元，委托新疆煤田地质局一六一煤田地质勘探队在新疆哈密市三道岭南勘查区（西一区）进行了煤炭详查工作，要求新疆煤田地质局一六一煤田地质勘探队2015年度完成普查工作，根据普查成果提出详查方案，并要求于2016年度完成详查工作，为矿区的总体发展规划提供地质依据。</w:t>
      </w:r>
    </w:p>
    <w:p w14:paraId="49ECCA44">
      <w:pPr>
        <w:numPr>
          <w:ilvl w:val="0"/>
          <w:numId w:val="1"/>
        </w:numPr>
        <w:spacing w:line="360" w:lineRule="auto"/>
        <w:ind w:firstLine="561"/>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新疆库拜煤田拜城县煤层气开发利用先导性试验</w:t>
      </w:r>
    </w:p>
    <w:p w14:paraId="76A3A985">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新疆煤层气资源丰富，埋深2000m以浅煤层气预测资源量约9.51×10</w:t>
      </w:r>
      <w:r>
        <w:rPr>
          <w:rFonts w:hint="eastAsia" w:ascii="宋体" w:hAnsi="宋体" w:eastAsia="宋体" w:cs="宋体"/>
          <w:color w:val="auto"/>
          <w:sz w:val="30"/>
          <w:szCs w:val="30"/>
          <w:vertAlign w:val="superscript"/>
        </w:rPr>
        <w:t>12</w:t>
      </w:r>
      <w:r>
        <w:rPr>
          <w:rFonts w:hint="eastAsia" w:ascii="宋体" w:hAnsi="宋体" w:eastAsia="宋体" w:cs="宋体"/>
          <w:color w:val="auto"/>
          <w:sz w:val="30"/>
          <w:szCs w:val="30"/>
        </w:rPr>
        <w:t xml:space="preserve"> m³，占全国预测煤层资源量的26%。主要分布在准噶尔盆地、吐哈盆地、伊犁盆地、塔里木盆地以及天山系列盆地中。这些盆地煤层层数多、厚度大，煤层最大累积厚度近200m，最大单层厚度逾100m，煤层层数超过50层。其中塔里木盆地煤层气预测资源量1.93×10</w:t>
      </w:r>
      <w:r>
        <w:rPr>
          <w:rFonts w:hint="eastAsia" w:ascii="宋体" w:hAnsi="宋体" w:eastAsia="宋体" w:cs="宋体"/>
          <w:color w:val="auto"/>
          <w:sz w:val="30"/>
          <w:szCs w:val="30"/>
          <w:vertAlign w:val="superscript"/>
        </w:rPr>
        <w:t>12</w:t>
      </w:r>
      <w:r>
        <w:rPr>
          <w:rFonts w:hint="eastAsia" w:ascii="宋体" w:hAnsi="宋体" w:eastAsia="宋体" w:cs="宋体"/>
          <w:color w:val="auto"/>
          <w:sz w:val="30"/>
          <w:szCs w:val="30"/>
        </w:rPr>
        <w:t xml:space="preserve"> m³，占新疆煤层气总资源量的约20%。库拜煤田位于新疆天山南麓，塔里木盆地北缘，是疆南重要的煤炭基地，煤层含气性及储层物性各项参数均有利于煤层气的富集和开采，预测煤层气总资源量约1732.99×10</w:t>
      </w:r>
      <w:r>
        <w:rPr>
          <w:rFonts w:hint="eastAsia" w:ascii="宋体" w:hAnsi="宋体" w:eastAsia="宋体" w:cs="宋体"/>
          <w:color w:val="auto"/>
          <w:sz w:val="30"/>
          <w:szCs w:val="30"/>
          <w:vertAlign w:val="superscript"/>
        </w:rPr>
        <w:t>8</w:t>
      </w:r>
      <w:r>
        <w:rPr>
          <w:rFonts w:hint="eastAsia" w:ascii="宋体" w:hAnsi="宋体" w:eastAsia="宋体" w:cs="宋体"/>
          <w:color w:val="auto"/>
          <w:sz w:val="30"/>
          <w:szCs w:val="30"/>
        </w:rPr>
        <w:t xml:space="preserve"> m³，具备了较好的煤层气资源开发基础。</w:t>
      </w:r>
    </w:p>
    <w:p w14:paraId="0619716B">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随着经济社会的发展，中央提出要把加快推动新疆资源优势向经济优势转变摆在突出位置，明确提出要加大煤层气勘查开发和综合利用力度。新疆维吾尔自治区发改委根据中央要求和《新疆维吾尔自治区煤层气（煤矿瓦斯）开发利用“十二五”规划》，制定了《新疆煤层气勘查开发利用（2011－2020年）实施方案》，并获得国家发改委能源局的批准。实施方案提出以准南煤田阜康矿区白杨河区块、准南煤田乌鲁木齐矿区碱沟区块、库拜煤田拜城矿区为新疆煤层气勘查开发示范区，加快煤矿瓦斯抽采利用工程建设。到2020年新增煤层气探明地质储量800×10</w:t>
      </w:r>
      <w:r>
        <w:rPr>
          <w:rFonts w:hint="eastAsia" w:ascii="宋体" w:hAnsi="宋体" w:eastAsia="宋体" w:cs="宋体"/>
          <w:color w:val="auto"/>
          <w:sz w:val="30"/>
          <w:szCs w:val="30"/>
          <w:vertAlign w:val="superscript"/>
        </w:rPr>
        <w:t>8</w:t>
      </w:r>
      <w:r>
        <w:rPr>
          <w:rFonts w:hint="eastAsia" w:ascii="宋体" w:hAnsi="宋体" w:eastAsia="宋体" w:cs="宋体"/>
          <w:color w:val="auto"/>
          <w:sz w:val="30"/>
          <w:szCs w:val="30"/>
        </w:rPr>
        <w:t xml:space="preserve"> m³，建成一批煤层气开发利用示范工程和煤矿瓦斯抽采利用规模化矿区，煤层气产能达到15×10</w:t>
      </w:r>
      <w:r>
        <w:rPr>
          <w:rFonts w:hint="eastAsia" w:ascii="宋体" w:hAnsi="宋体" w:eastAsia="宋体" w:cs="宋体"/>
          <w:color w:val="auto"/>
          <w:sz w:val="30"/>
          <w:szCs w:val="30"/>
          <w:vertAlign w:val="superscript"/>
        </w:rPr>
        <w:t>8</w:t>
      </w:r>
      <w:r>
        <w:rPr>
          <w:rFonts w:hint="eastAsia" w:ascii="宋体" w:hAnsi="宋体" w:eastAsia="宋体" w:cs="宋体"/>
          <w:color w:val="auto"/>
          <w:sz w:val="30"/>
          <w:szCs w:val="30"/>
        </w:rPr>
        <w:t xml:space="preserve"> m³/a，煤矿瓦斯抽采量6×10</w:t>
      </w:r>
      <w:r>
        <w:rPr>
          <w:rFonts w:hint="eastAsia" w:ascii="宋体" w:hAnsi="宋体" w:eastAsia="宋体" w:cs="宋体"/>
          <w:color w:val="auto"/>
          <w:sz w:val="30"/>
          <w:szCs w:val="30"/>
          <w:vertAlign w:val="superscript"/>
        </w:rPr>
        <w:t>8</w:t>
      </w:r>
      <w:r>
        <w:rPr>
          <w:rFonts w:hint="eastAsia" w:ascii="宋体" w:hAnsi="宋体" w:eastAsia="宋体" w:cs="宋体"/>
          <w:color w:val="auto"/>
          <w:sz w:val="30"/>
          <w:szCs w:val="30"/>
        </w:rPr>
        <w:t xml:space="preserve"> m³，新疆煤层气开发利用初步实现产业化。《新疆煤层气开发利用示范工程实施方案》、《新疆维吾尔自治区煤层气勘探开发行动计划实施方案》中提出加快库拜煤田拜城矿区的开发建设。</w:t>
      </w:r>
    </w:p>
    <w:p w14:paraId="4C26DFD6">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新疆“十三五”能源发展规划》明确指出“自治区将进一步加快推进阜康、拜城等地煤层气示范工程建设，引导煤层气勘探规模化、产业化发展”，国家发改委发布《煤层气（煤矿瓦斯）开发利用“十三五”规划》，明确指出“十三五”期间，加快加快贵州、新疆、内蒙古、四川、云南等地区煤层气资源调查和潜力评价，实施一批煤层气勘查项目，力争在西北低煤阶地区和西南高应力地区煤层气勘探取得突破。</w:t>
      </w:r>
    </w:p>
    <w:p w14:paraId="467148FD">
      <w:pPr>
        <w:spacing w:line="360" w:lineRule="auto"/>
        <w:ind w:firstLine="600" w:firstLineChars="200"/>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rPr>
        <w:t>2016年7月1日新疆维吾尔自治区国土资源厅下达项目任务书，文号：新国土资办函[2016]169号，要求在库拜煤田拜城县中部进行开发利用先导性试验。</w:t>
      </w:r>
    </w:p>
    <w:p w14:paraId="548CFDDD">
      <w:pPr>
        <w:numPr>
          <w:ilvl w:val="0"/>
          <w:numId w:val="1"/>
        </w:numPr>
        <w:spacing w:line="360" w:lineRule="auto"/>
        <w:ind w:firstLine="561"/>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新疆三塘湖盆地油页岩（页岩气）资源潜力评价</w:t>
      </w:r>
    </w:p>
    <w:p w14:paraId="07A97B50">
      <w:pPr>
        <w:numPr>
          <w:ilvl w:val="0"/>
          <w:numId w:val="0"/>
        </w:numPr>
        <w:spacing w:line="360" w:lineRule="auto"/>
        <w:ind w:firstLine="600" w:firstLineChars="200"/>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自治区地勘基金管理中心设立《新疆三塘湖盆地油页岩（页岩气）资源潜力评价》项目，以期获取三塘湖盆地页岩气、油页岩参数，对油页岩、页岩气资源潜力进行初步评价，并优选有利目标区，为后续工作提供依据。</w:t>
      </w:r>
    </w:p>
    <w:p w14:paraId="1B4A41EB">
      <w:pPr>
        <w:numPr>
          <w:ilvl w:val="0"/>
          <w:numId w:val="0"/>
        </w:numPr>
        <w:spacing w:line="360" w:lineRule="auto"/>
        <w:ind w:firstLine="600" w:firstLineChars="200"/>
        <w:rPr>
          <w:rFonts w:hint="eastAsia" w:ascii="宋体" w:hAnsi="宋体" w:eastAsia="宋体" w:cs="宋体"/>
          <w:color w:val="auto"/>
          <w:sz w:val="30"/>
          <w:szCs w:val="30"/>
          <w:lang w:val="en-US" w:eastAsia="zh-CN"/>
        </w:rPr>
      </w:pPr>
    </w:p>
    <w:p w14:paraId="103F5A4F">
      <w:pPr>
        <w:numPr>
          <w:ilvl w:val="0"/>
          <w:numId w:val="2"/>
        </w:numPr>
        <w:spacing w:line="540" w:lineRule="exact"/>
        <w:ind w:firstLine="567"/>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主要内容及实施情况：</w:t>
      </w:r>
    </w:p>
    <w:p w14:paraId="4EBE4CB3">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lang w:eastAsia="zh-CN"/>
        </w:rPr>
        <w:t>（</w:t>
      </w:r>
      <w:r>
        <w:rPr>
          <w:rFonts w:hint="eastAsia" w:ascii="宋体" w:hAnsi="宋体" w:eastAsia="宋体" w:cs="宋体"/>
          <w:color w:val="auto"/>
          <w:sz w:val="30"/>
          <w:szCs w:val="30"/>
          <w:lang w:val="en-US" w:eastAsia="zh-CN"/>
        </w:rPr>
        <w:t>1</w:t>
      </w:r>
      <w:r>
        <w:rPr>
          <w:rFonts w:hint="eastAsia" w:ascii="宋体" w:hAnsi="宋体" w:eastAsia="宋体" w:cs="宋体"/>
          <w:color w:val="auto"/>
          <w:sz w:val="30"/>
          <w:szCs w:val="30"/>
          <w:lang w:eastAsia="zh-CN"/>
        </w:rPr>
        <w:t>）新疆哈密市三道岭南勘查区(西一区) 煤炭详查</w:t>
      </w:r>
    </w:p>
    <w:p w14:paraId="6137BD48">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1)主要内容</w:t>
      </w:r>
    </w:p>
    <w:p w14:paraId="3D4F7A3D">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在充分收集和研究预查区内、外已有地质成果资料上，按照《煤、泥炭地质勘查规范》要求，在勘查区内采用1∶2.5万综合地质填图、二维地震、钻探和样品采集测试等手段开展普详查评价</w:t>
      </w:r>
      <w:bookmarkStart w:id="0" w:name="_Toc329793101"/>
      <w:bookmarkStart w:id="1" w:name="_Toc331152976"/>
      <w:r>
        <w:rPr>
          <w:rFonts w:hint="eastAsia" w:ascii="宋体" w:hAnsi="宋体" w:eastAsia="宋体" w:cs="宋体"/>
          <w:color w:val="auto"/>
          <w:sz w:val="30"/>
          <w:szCs w:val="30"/>
        </w:rPr>
        <w:t>，为矿区的总体发展规划提供地质依据。</w:t>
      </w:r>
    </w:p>
    <w:bookmarkEnd w:id="0"/>
    <w:bookmarkEnd w:id="1"/>
    <w:p w14:paraId="7B600F99">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实物工作量：</w:t>
      </w:r>
    </w:p>
    <w:p w14:paraId="684F0594">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（1）1：2.5万地形测量                 799.54平方千米</w:t>
      </w:r>
    </w:p>
    <w:p w14:paraId="49B3C0EF">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（2）1：2.5万综合地质填图测量          799.54平方千米</w:t>
      </w:r>
    </w:p>
    <w:p w14:paraId="7A82C454">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（3）工程点测量                                112个</w:t>
      </w:r>
    </w:p>
    <w:p w14:paraId="658C3954">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（4）1：5000地质勘探线剖面测量（25条）       360千米</w:t>
      </w:r>
    </w:p>
    <w:p w14:paraId="7F927CC5">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（5）二维地震勘探                      18000个物理点</w:t>
      </w:r>
    </w:p>
    <w:p w14:paraId="518555F0">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（6）机械岩芯钻探（112孔）                    76340米</w:t>
      </w:r>
    </w:p>
    <w:p w14:paraId="2C78CFC7">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（7）地球物理测井（112孔）                    76340米</w:t>
      </w:r>
    </w:p>
    <w:p w14:paraId="6F423EBC">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 xml:space="preserve">（8）各类样品                                </w:t>
      </w:r>
      <w:r>
        <w:rPr>
          <w:rFonts w:hint="eastAsia" w:ascii="宋体" w:hAnsi="宋体" w:cs="宋体"/>
          <w:color w:val="auto"/>
          <w:sz w:val="30"/>
          <w:szCs w:val="30"/>
          <w:lang w:val="en-US" w:eastAsia="zh-CN"/>
        </w:rPr>
        <w:t xml:space="preserve"> </w:t>
      </w:r>
      <w:r>
        <w:rPr>
          <w:rFonts w:hint="eastAsia" w:ascii="宋体" w:hAnsi="宋体" w:eastAsia="宋体" w:cs="宋体"/>
          <w:color w:val="auto"/>
          <w:sz w:val="30"/>
          <w:szCs w:val="30"/>
        </w:rPr>
        <w:t xml:space="preserve"> 619个</w:t>
      </w:r>
    </w:p>
    <w:p w14:paraId="164EA8DE">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2）实施情况</w:t>
      </w:r>
    </w:p>
    <w:p w14:paraId="43DDB54F">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1）2015年5月，新疆维吾尔自治区国土资源厅下发了新疆哈密市三道岭南煤炭资源详查基金项目任务书。</w:t>
      </w:r>
    </w:p>
    <w:p w14:paraId="6324DFF7">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2）2015年11月，国土厅组织专家对该项目进行了野外中期监理，监理通过。</w:t>
      </w:r>
    </w:p>
    <w:p w14:paraId="7A5B516D">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3）2016年3月，一六一煤田地质勘探队对普查工作进行了阶段性的成果回报并提交了详查工作方案，自治区国土资源厅在听取了成果回报后要求在普查工作成果基础上开展详查工作。</w:t>
      </w:r>
    </w:p>
    <w:p w14:paraId="2B2C24E0">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4）2016年6月，国土厅组织专家对项目进行了野外安全生产检查，检查通过。</w:t>
      </w:r>
    </w:p>
    <w:p w14:paraId="2E71B340">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5）2016年11月9-11日，通过野外竣工验收。</w:t>
      </w:r>
    </w:p>
    <w:p w14:paraId="5CE890A0">
      <w:pPr>
        <w:numPr>
          <w:ilvl w:val="0"/>
          <w:numId w:val="3"/>
        </w:numPr>
        <w:spacing w:line="360" w:lineRule="auto"/>
        <w:ind w:firstLine="600" w:firstLineChars="200"/>
        <w:rPr>
          <w:rFonts w:hint="eastAsia" w:ascii="宋体" w:hAnsi="宋体" w:cs="宋体"/>
          <w:color w:val="auto"/>
          <w:sz w:val="30"/>
          <w:szCs w:val="30"/>
          <w:lang w:val="en-US" w:eastAsia="zh-CN"/>
        </w:rPr>
      </w:pPr>
      <w:r>
        <w:rPr>
          <w:rFonts w:hint="eastAsia" w:ascii="宋体" w:hAnsi="宋体" w:cs="宋体"/>
          <w:color w:val="auto"/>
          <w:sz w:val="30"/>
          <w:szCs w:val="30"/>
          <w:lang w:val="en-US" w:eastAsia="zh-CN"/>
        </w:rPr>
        <w:t>实际完成工作量已超额完成下达指标。</w:t>
      </w:r>
    </w:p>
    <w:p w14:paraId="4102C91A">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（1）1：2.5万地形测量                 799.54平方千米</w:t>
      </w:r>
    </w:p>
    <w:p w14:paraId="4C7EC81B">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（2）1：2.5万综合地质填图测量          799.54平方千米</w:t>
      </w:r>
    </w:p>
    <w:p w14:paraId="7BC5BC40">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（3）工程点测量                                112个</w:t>
      </w:r>
    </w:p>
    <w:p w14:paraId="329F9F28">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（4）1：5000地质勘探线剖面测量（25条）       3</w:t>
      </w:r>
      <w:r>
        <w:rPr>
          <w:rFonts w:hint="eastAsia" w:ascii="宋体" w:hAnsi="宋体" w:cs="宋体"/>
          <w:color w:val="auto"/>
          <w:sz w:val="30"/>
          <w:szCs w:val="30"/>
          <w:lang w:val="en-US" w:eastAsia="zh-CN"/>
        </w:rPr>
        <w:t>8</w:t>
      </w:r>
      <w:r>
        <w:rPr>
          <w:rFonts w:hint="eastAsia" w:ascii="宋体" w:hAnsi="宋体" w:eastAsia="宋体" w:cs="宋体"/>
          <w:color w:val="auto"/>
          <w:sz w:val="30"/>
          <w:szCs w:val="30"/>
        </w:rPr>
        <w:t>0千米</w:t>
      </w:r>
    </w:p>
    <w:p w14:paraId="523BEBA0">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（5）二维地震勘探                      18056个物理点</w:t>
      </w:r>
    </w:p>
    <w:p w14:paraId="07AA4BCE">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 xml:space="preserve">（6）机械岩芯钻探                  </w:t>
      </w:r>
      <w:r>
        <w:rPr>
          <w:rFonts w:hint="eastAsia" w:ascii="宋体" w:hAnsi="宋体" w:cs="宋体"/>
          <w:color w:val="auto"/>
          <w:sz w:val="30"/>
          <w:szCs w:val="30"/>
          <w:lang w:val="en-US" w:eastAsia="zh-CN"/>
        </w:rPr>
        <w:t xml:space="preserve">       </w:t>
      </w:r>
      <w:r>
        <w:rPr>
          <w:rFonts w:hint="eastAsia" w:ascii="宋体" w:hAnsi="宋体" w:eastAsia="宋体" w:cs="宋体"/>
          <w:color w:val="auto"/>
          <w:sz w:val="30"/>
          <w:szCs w:val="30"/>
        </w:rPr>
        <w:t xml:space="preserve"> 80102.5米</w:t>
      </w:r>
    </w:p>
    <w:p w14:paraId="442BE50B">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（7）地球物理测井</w:t>
      </w:r>
      <w:r>
        <w:rPr>
          <w:rFonts w:hint="eastAsia" w:ascii="宋体" w:hAnsi="宋体" w:cs="宋体"/>
          <w:color w:val="auto"/>
          <w:sz w:val="30"/>
          <w:szCs w:val="30"/>
          <w:lang w:val="en-US" w:eastAsia="zh-CN"/>
        </w:rPr>
        <w:t xml:space="preserve">        </w:t>
      </w:r>
      <w:r>
        <w:rPr>
          <w:rFonts w:hint="eastAsia" w:ascii="宋体" w:hAnsi="宋体" w:eastAsia="宋体" w:cs="宋体"/>
          <w:color w:val="auto"/>
          <w:sz w:val="30"/>
          <w:szCs w:val="30"/>
        </w:rPr>
        <w:t xml:space="preserve">                 78503.33 米</w:t>
      </w:r>
    </w:p>
    <w:p w14:paraId="2315F418">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 xml:space="preserve">（8）各类样品                               </w:t>
      </w:r>
      <w:r>
        <w:rPr>
          <w:rFonts w:hint="eastAsia" w:ascii="宋体" w:hAnsi="宋体" w:cs="宋体"/>
          <w:color w:val="auto"/>
          <w:sz w:val="30"/>
          <w:szCs w:val="30"/>
          <w:lang w:val="en-US" w:eastAsia="zh-CN"/>
        </w:rPr>
        <w:t xml:space="preserve">   </w:t>
      </w:r>
      <w:r>
        <w:rPr>
          <w:rFonts w:hint="eastAsia" w:ascii="宋体" w:hAnsi="宋体" w:eastAsia="宋体" w:cs="宋体"/>
          <w:color w:val="auto"/>
          <w:sz w:val="30"/>
          <w:szCs w:val="30"/>
        </w:rPr>
        <w:t xml:space="preserve"> 676个</w:t>
      </w:r>
    </w:p>
    <w:p w14:paraId="136EC3DB">
      <w:pPr>
        <w:numPr>
          <w:ilvl w:val="0"/>
          <w:numId w:val="0"/>
        </w:numPr>
        <w:spacing w:line="360" w:lineRule="auto"/>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（2）新疆库拜煤田拜城县煤层气开发利用先导性试验</w:t>
      </w:r>
    </w:p>
    <w:p w14:paraId="5BD2EA64">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1）主要内容</w:t>
      </w:r>
    </w:p>
    <w:p w14:paraId="1C94E9F7">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通过前期勘查阶段施工的生产井</w:t>
      </w:r>
      <w:bookmarkStart w:id="3" w:name="_GoBack"/>
      <w:bookmarkEnd w:id="3"/>
      <w:r>
        <w:rPr>
          <w:rFonts w:hint="eastAsia" w:ascii="宋体" w:hAnsi="宋体" w:eastAsia="宋体" w:cs="宋体"/>
          <w:color w:val="auto"/>
          <w:sz w:val="30"/>
          <w:szCs w:val="30"/>
        </w:rPr>
        <w:t>及地面工程建设，建成拜城县1800万立方米年产能的煤层气开发利用示范基地，实现小规模化生产和利用，在库拜地区煤层气商业性开发起到先导性示范作用。同时总结煤层气气藏及煤层气排采增产措施，寻找适合库拜地区煤储层特征和地质条件的关键工程工艺技术。</w:t>
      </w:r>
    </w:p>
    <w:p w14:paraId="1604184F">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主要实物工作量：生产井钻探19800米（18口）；煤层气测井19800米（18口）；压裂（含射孔和修井）49层；气测录井18口；铺设集气管线15千米；煤层气集气（CNG）站1座。</w:t>
      </w:r>
    </w:p>
    <w:p w14:paraId="6C7C8A29">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预期成果：建设煤层气产能1500万立方米/年。</w:t>
      </w:r>
    </w:p>
    <w:p w14:paraId="6FF409BB">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2）实施情况</w:t>
      </w:r>
    </w:p>
    <w:p w14:paraId="269253A3">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 xml:space="preserve">1、2016年5月27日，新疆国土资源厅、财政厅分别组织有关专家对《新疆库拜煤田拜城县煤层气开发利用先导性试验》工作方案进行了论证，同意立项。                           </w:t>
      </w:r>
    </w:p>
    <w:p w14:paraId="3914F445">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2、2016年7月1日，新疆维吾尔自治区国土资源厅以新国土资办函[2016]270号文下达项目任务书。</w:t>
      </w:r>
    </w:p>
    <w:p w14:paraId="4A7BC2A1">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3、2016年9月3-5日，国土厅组织专家对该项目进行了设计评审，评审通过。</w:t>
      </w:r>
    </w:p>
    <w:p w14:paraId="2848D25A">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4、2016年9月22日，新疆维吾尔自治区国土资源厅以新国土资办函[2016]304号文下达设计审查意见书。</w:t>
      </w:r>
    </w:p>
    <w:p w14:paraId="47D5917F">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5、2017年11月1日，国土厅组织专家对该项目进行了野外中期监理，监理通过。</w:t>
      </w:r>
    </w:p>
    <w:p w14:paraId="0861F075">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6、2018年5月24日，国土厅组织专家对项目进行了野外安全生产检查，检查通过。</w:t>
      </w:r>
    </w:p>
    <w:p w14:paraId="25B6250F">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7、2018年11月25-27日，通过野外竣工验收。</w:t>
      </w:r>
    </w:p>
    <w:p w14:paraId="4C40701A">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8、2019年1月8-9日，项目建设报告通过评审。</w:t>
      </w:r>
    </w:p>
    <w:p w14:paraId="0EFB20F4">
      <w:pPr>
        <w:numPr>
          <w:ilvl w:val="0"/>
          <w:numId w:val="0"/>
        </w:numPr>
        <w:spacing w:line="360" w:lineRule="auto"/>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（3）新疆三塘湖盆地油页岩（页岩气）资源潜力评价</w:t>
      </w:r>
    </w:p>
    <w:p w14:paraId="271AA1CB">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以资料、文献调研为基础，分析研究区的区域构造、沉积等地质背景，总结页岩油（页岩气）的成藏特征，初步确定钻探目标区，通过二维地震解译，落实参数井部署；设计野外地质路线，开展剖面测量，野外样品采集工作，结合参数井岩心采集样品，开展化验分析工作；最后综合野外工作，钻探工作认识，以实验分析数据为基础，结合以往油气、煤田地质工作，评价研究区主要目的层油页岩（页岩气）资源潜力，预测页岩油（页岩气）远景区。</w:t>
      </w:r>
    </w:p>
    <w:p w14:paraId="1A2F8EA8">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实施情况：绘制野外地质剖面图7幅（1:10000）、完成槽探测量5条，收集并完成33条2D地震测线，总计4714km的地震资料，解译物理点总数为47140个，收集处理3D地震数据面积456km2，地震解释形成17张地震成果图；钻探施工1768.68米，共取芯704回次；地球物理测井1768.68米；累计完成剖面及参数井样品测试累计1381项次。</w:t>
      </w:r>
    </w:p>
    <w:p w14:paraId="2AB2D24F">
      <w:pPr>
        <w:spacing w:line="360" w:lineRule="auto"/>
        <w:ind w:firstLine="600" w:firstLineChars="200"/>
        <w:rPr>
          <w:rFonts w:hint="eastAsia" w:ascii="宋体" w:hAnsi="宋体" w:eastAsia="宋体" w:cs="宋体"/>
          <w:color w:val="auto"/>
          <w:sz w:val="30"/>
          <w:szCs w:val="30"/>
        </w:rPr>
      </w:pPr>
    </w:p>
    <w:p w14:paraId="59AD6947">
      <w:pPr>
        <w:numPr>
          <w:ilvl w:val="0"/>
          <w:numId w:val="2"/>
        </w:numPr>
        <w:spacing w:line="540" w:lineRule="exact"/>
        <w:ind w:firstLine="567"/>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资金投入和使用情况：</w:t>
      </w:r>
    </w:p>
    <w:p w14:paraId="5EA3D462">
      <w:pPr>
        <w:spacing w:line="360" w:lineRule="auto"/>
        <w:ind w:firstLine="600" w:firstLineChars="200"/>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rPr>
        <w:t>项目经费：11481.67万元，资金全部为财政</w:t>
      </w:r>
      <w:r>
        <w:rPr>
          <w:rFonts w:hint="eastAsia" w:ascii="宋体" w:hAnsi="宋体" w:eastAsia="宋体" w:cs="宋体"/>
          <w:color w:val="auto"/>
          <w:sz w:val="30"/>
          <w:szCs w:val="30"/>
          <w:lang w:eastAsia="zh-CN"/>
        </w:rPr>
        <w:t>上年结转</w:t>
      </w:r>
      <w:r>
        <w:rPr>
          <w:rFonts w:hint="eastAsia" w:ascii="宋体" w:hAnsi="宋体" w:eastAsia="宋体" w:cs="宋体"/>
          <w:color w:val="auto"/>
          <w:sz w:val="30"/>
          <w:szCs w:val="30"/>
        </w:rPr>
        <w:t>资金</w:t>
      </w:r>
      <w:r>
        <w:rPr>
          <w:rFonts w:hint="eastAsia" w:ascii="宋体" w:hAnsi="宋体" w:eastAsia="宋体" w:cs="宋体"/>
          <w:color w:val="auto"/>
          <w:sz w:val="30"/>
          <w:szCs w:val="30"/>
          <w:lang w:eastAsia="zh-CN"/>
        </w:rPr>
        <w:t>；</w:t>
      </w:r>
      <w:r>
        <w:rPr>
          <w:rFonts w:hint="eastAsia" w:ascii="宋体" w:hAnsi="宋体" w:eastAsia="宋体" w:cs="宋体"/>
          <w:color w:val="auto"/>
          <w:sz w:val="30"/>
          <w:szCs w:val="30"/>
          <w:lang w:val="en-US" w:eastAsia="zh-CN"/>
        </w:rPr>
        <w:t>2019年使用4039.56万元</w:t>
      </w:r>
    </w:p>
    <w:p w14:paraId="783A0F30">
      <w:pPr>
        <w:spacing w:line="540" w:lineRule="exact"/>
        <w:rPr>
          <w:rStyle w:val="19"/>
          <w:rFonts w:hint="eastAsia" w:ascii="宋体" w:hAnsi="宋体" w:eastAsia="宋体" w:cs="宋体"/>
          <w:b w:val="0"/>
          <w:color w:val="auto"/>
          <w:spacing w:val="-4"/>
          <w:sz w:val="30"/>
          <w:szCs w:val="30"/>
        </w:rPr>
      </w:pPr>
    </w:p>
    <w:p w14:paraId="09BB9C03">
      <w:pPr>
        <w:spacing w:line="540" w:lineRule="exact"/>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（二）项目绩效目标（包括总体目标和阶段性目标）。</w:t>
      </w:r>
    </w:p>
    <w:p w14:paraId="09E55B06">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lang w:eastAsia="zh-CN"/>
        </w:rPr>
        <w:t>（</w:t>
      </w:r>
      <w:r>
        <w:rPr>
          <w:rFonts w:hint="eastAsia" w:ascii="宋体" w:hAnsi="宋体" w:eastAsia="宋体" w:cs="宋体"/>
          <w:color w:val="auto"/>
          <w:sz w:val="30"/>
          <w:szCs w:val="30"/>
          <w:lang w:val="en-US" w:eastAsia="zh-CN"/>
        </w:rPr>
        <w:t>1</w:t>
      </w:r>
      <w:r>
        <w:rPr>
          <w:rFonts w:hint="eastAsia" w:ascii="宋体" w:hAnsi="宋体" w:eastAsia="宋体" w:cs="宋体"/>
          <w:color w:val="auto"/>
          <w:sz w:val="30"/>
          <w:szCs w:val="30"/>
          <w:lang w:eastAsia="zh-CN"/>
        </w:rPr>
        <w:t>）新疆哈密市三道岭南勘查区(西一区) 煤炭详查</w:t>
      </w:r>
    </w:p>
    <w:p w14:paraId="23B6A0B5">
      <w:pPr>
        <w:spacing w:line="540" w:lineRule="exact"/>
        <w:ind w:firstLine="584" w:firstLineChars="20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1、总体目标：</w:t>
      </w:r>
    </w:p>
    <w:p w14:paraId="497D68E8">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总体目标任务：</w:t>
      </w:r>
      <w:r>
        <w:rPr>
          <w:rFonts w:hint="eastAsia" w:ascii="宋体" w:hAnsi="宋体" w:eastAsia="宋体" w:cs="宋体"/>
          <w:bCs/>
          <w:color w:val="auto"/>
          <w:sz w:val="30"/>
          <w:szCs w:val="30"/>
        </w:rPr>
        <w:t>在充分收集和研究预查区内、外已有地质成果资料上，按照《煤、泥炭地质勘查规范》要求，在勘查区内采用1∶2.5万综合地质填图、二维地震、钻探和样品采集测试等手段开展普详查评价，为矿区的总体发展规划提供地质依据。</w:t>
      </w:r>
    </w:p>
    <w:p w14:paraId="70E0F4E7">
      <w:pPr>
        <w:spacing w:line="360" w:lineRule="auto"/>
        <w:ind w:firstLine="600" w:firstLineChars="200"/>
        <w:rPr>
          <w:rFonts w:hint="eastAsia" w:ascii="宋体" w:hAnsi="宋体" w:eastAsia="宋体" w:cs="宋体"/>
          <w:bCs/>
          <w:color w:val="auto"/>
          <w:sz w:val="30"/>
          <w:szCs w:val="30"/>
        </w:rPr>
      </w:pPr>
      <w:r>
        <w:rPr>
          <w:rFonts w:hint="eastAsia" w:ascii="宋体" w:hAnsi="宋体" w:eastAsia="宋体" w:cs="宋体"/>
          <w:bCs/>
          <w:color w:val="auto"/>
          <w:sz w:val="30"/>
          <w:szCs w:val="30"/>
        </w:rPr>
        <w:t>具体任务：</w:t>
      </w:r>
    </w:p>
    <w:p w14:paraId="74135961">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1） 基本查明勘查区构造形态，控制勘查区的边界和勘查区内可能影响井田划分的构造，评价勘查区的构造复杂程度；</w:t>
      </w:r>
    </w:p>
    <w:p w14:paraId="7753E1B9">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2） 基本查明可采煤层层位、层数、厚度和可采范围，基本确定可采煤层的连续性，控制主要可采煤层露头位置，了解对破坏煤层连续性和影响煤层厚度的岩浆侵入、古河流冲刷、古隆起等，并大致查明其范围，评价可采煤层的稳定程度和可采性；</w:t>
      </w:r>
    </w:p>
    <w:p w14:paraId="1A3829B9">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3） 基本查明可采煤层煤质特征和工艺性能，确定可采煤层煤类，评价煤的工业利用方向，初步查明主要可采煤层风化带界线，评价可采煤层煤质变化程度；</w:t>
      </w:r>
    </w:p>
    <w:p w14:paraId="5826C7EC">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4） 基本查明勘查区水文地质条件，基本查明主要可采煤层顶底板工程地质特征、煤层瓦斯、地温等开采技术条件，对可能影响矿区开发建设的水文地质条件和其他开采技术条件做出评价，初步评价勘查区环境地质条件；</w:t>
      </w:r>
    </w:p>
    <w:p w14:paraId="08C74F91">
      <w:pPr>
        <w:spacing w:line="360" w:lineRule="auto"/>
        <w:ind w:firstLine="561"/>
        <w:rPr>
          <w:rFonts w:hint="eastAsia" w:ascii="宋体" w:hAnsi="宋体" w:eastAsia="宋体" w:cs="宋体"/>
          <w:color w:val="auto"/>
          <w:sz w:val="30"/>
          <w:szCs w:val="30"/>
        </w:rPr>
      </w:pPr>
      <w:bookmarkStart w:id="2" w:name="_Toc392154228"/>
      <w:r>
        <w:rPr>
          <w:rFonts w:hint="eastAsia" w:ascii="宋体" w:hAnsi="宋体" w:eastAsia="宋体" w:cs="宋体"/>
          <w:color w:val="auto"/>
          <w:sz w:val="30"/>
          <w:szCs w:val="30"/>
        </w:rPr>
        <w:t>5） 对勘查区内可能有利用前景的地下水资源做出初步评价；</w:t>
      </w:r>
      <w:bookmarkEnd w:id="2"/>
    </w:p>
    <w:p w14:paraId="24E20C3D">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6） 初步查明其他有益矿产赋存情况，做出有无工业价值的初步评价；</w:t>
      </w:r>
    </w:p>
    <w:p w14:paraId="19ED1955">
      <w:pPr>
        <w:spacing w:line="360" w:lineRule="auto"/>
        <w:ind w:firstLine="561"/>
        <w:rPr>
          <w:rFonts w:hint="eastAsia" w:ascii="宋体" w:hAnsi="宋体" w:eastAsia="宋体" w:cs="宋体"/>
          <w:color w:val="auto"/>
          <w:sz w:val="30"/>
          <w:szCs w:val="30"/>
        </w:rPr>
      </w:pPr>
      <w:r>
        <w:rPr>
          <w:rFonts w:hint="eastAsia" w:ascii="宋体" w:hAnsi="宋体" w:eastAsia="宋体" w:cs="宋体"/>
          <w:color w:val="auto"/>
          <w:sz w:val="30"/>
          <w:szCs w:val="30"/>
        </w:rPr>
        <w:t>7） 估算各可采煤层的控制的、推断的、预测的资源／储量，其中控制的资源／储量一般应占总资源／储量的20%～30%，推断的和控制的应占70%以上。</w:t>
      </w:r>
    </w:p>
    <w:p w14:paraId="31E09BF8">
      <w:pPr>
        <w:spacing w:line="540" w:lineRule="exact"/>
        <w:ind w:firstLine="584" w:firstLineChars="20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2、阶段性目标：</w:t>
      </w:r>
    </w:p>
    <w:p w14:paraId="335C801C">
      <w:pPr>
        <w:spacing w:line="540" w:lineRule="exact"/>
        <w:ind w:firstLine="608"/>
        <w:outlineLvl w:val="0"/>
        <w:rPr>
          <w:rFonts w:hint="eastAsia" w:ascii="宋体" w:hAnsi="宋体" w:eastAsia="宋体" w:cs="宋体"/>
          <w:color w:val="auto"/>
          <w:sz w:val="30"/>
          <w:szCs w:val="30"/>
          <w:lang w:val="en-US" w:eastAsia="zh-CN"/>
        </w:rPr>
      </w:pPr>
      <w:r>
        <w:rPr>
          <w:rStyle w:val="19"/>
          <w:rFonts w:hint="eastAsia" w:ascii="宋体" w:hAnsi="宋体" w:eastAsia="宋体" w:cs="宋体"/>
          <w:b w:val="0"/>
          <w:color w:val="auto"/>
          <w:spacing w:val="-4"/>
          <w:sz w:val="30"/>
          <w:szCs w:val="30"/>
        </w:rPr>
        <w:t>无。</w:t>
      </w:r>
    </w:p>
    <w:p w14:paraId="43794F76">
      <w:pPr>
        <w:numPr>
          <w:ilvl w:val="0"/>
          <w:numId w:val="0"/>
        </w:numPr>
        <w:spacing w:line="360" w:lineRule="auto"/>
        <w:rPr>
          <w:rStyle w:val="19"/>
          <w:rFonts w:hint="eastAsia" w:ascii="宋体" w:hAnsi="宋体" w:eastAsia="宋体" w:cs="宋体"/>
          <w:b w:val="0"/>
          <w:color w:val="auto"/>
          <w:spacing w:val="-4"/>
          <w:sz w:val="30"/>
          <w:szCs w:val="30"/>
        </w:rPr>
      </w:pPr>
      <w:r>
        <w:rPr>
          <w:rFonts w:hint="eastAsia" w:ascii="宋体" w:hAnsi="宋体" w:eastAsia="宋体" w:cs="宋体"/>
          <w:color w:val="auto"/>
          <w:sz w:val="30"/>
          <w:szCs w:val="30"/>
          <w:lang w:val="en-US" w:eastAsia="zh-CN"/>
        </w:rPr>
        <w:t>（2）新疆库拜煤田拜城县煤层气开发利用先导性试验</w:t>
      </w:r>
    </w:p>
    <w:p w14:paraId="1418EE3B">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1．优化地质部署方案，采用先进适用、经济合理的技术手段，开展部署试验，利用前期勘探井，获取煤层气工业气流。</w:t>
      </w:r>
    </w:p>
    <w:p w14:paraId="2F8CDC40">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2．结合以往煤层气勘探开发取得成果、认识与技术、经验，依托本示范区先导试验，完善技术成果，提高煤层气井的开发效果，完善优化适工作区内地质特征的“钻、压、排”煤层气开发关键技术。</w:t>
      </w:r>
    </w:p>
    <w:p w14:paraId="705A2971">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3．根据井网、地貌条件，进行合理的煤层气集输管线设计、施工，确定合理的煤层气集输制度，完成地面工程建设，包括集气站1座以及与之相配套的输气管网、动力系统等，实现小规模化生产和利用。</w:t>
      </w:r>
    </w:p>
    <w:p w14:paraId="68BECA22">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 xml:space="preserve">    4．建设煤层气产能1500万立方米/年的示范基地。</w:t>
      </w:r>
    </w:p>
    <w:p w14:paraId="175A20B8">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2、阶段性目标：</w:t>
      </w:r>
    </w:p>
    <w:p w14:paraId="4B80A197">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 xml:space="preserve">     无</w:t>
      </w:r>
    </w:p>
    <w:p w14:paraId="6A0D40BB">
      <w:pPr>
        <w:numPr>
          <w:ilvl w:val="0"/>
          <w:numId w:val="0"/>
        </w:numPr>
        <w:spacing w:line="360" w:lineRule="auto"/>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（3）新疆三塘湖盆地油页岩（页岩气）资源潜力评价</w:t>
      </w:r>
    </w:p>
    <w:p w14:paraId="3CD2320C">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1、总体目标：</w:t>
      </w:r>
    </w:p>
    <w:p w14:paraId="3D0DA440">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针对三塘湖盆地油页岩（页岩气）普查工作的需要，在前期煤田地质、煤层气、页岩气地质工作基础上，利用野外地质调查、剖面测量、二维地震解释、测井、录井、测试化验以及室内综合地质研究等多技术手段，对三塘湖盆地页岩油气、油页岩的成藏机理、富集规律等进行研究，确定其资源潜力，并优选有利目标区，评估页岩油气及油页岩的资源量。为进一步在该区开展页岩油气、油页岩的勘探开发工作提供地质依据。</w:t>
      </w:r>
    </w:p>
    <w:p w14:paraId="594E6D3B">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2、阶段性目标：</w:t>
      </w:r>
    </w:p>
    <w:p w14:paraId="6FCB3DD0">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前期2018年开展路线地质调查、富有机质页岩层系剖面测量、物探等工作，2019年完成钻探、测井及岩矿测试工作，获取评价区目标层段岩相类型、空间分布特征、地球化学特征、储层特征及含气性特征。</w:t>
      </w:r>
    </w:p>
    <w:p w14:paraId="032E6350">
      <w:pPr>
        <w:spacing w:line="540" w:lineRule="exact"/>
        <w:ind w:firstLine="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最后在野外施工结束后研究页岩气、油页岩形成条件与富集规律，评价三塘湖盆地页岩气、油页岩开发利用前景，优选页岩气、油页岩远景区。</w:t>
      </w:r>
    </w:p>
    <w:p w14:paraId="44DDB893">
      <w:pPr>
        <w:spacing w:line="540" w:lineRule="exact"/>
        <w:ind w:firstLine="608"/>
        <w:outlineLvl w:val="0"/>
        <w:rPr>
          <w:rStyle w:val="19"/>
          <w:rFonts w:hint="eastAsia" w:ascii="宋体" w:hAnsi="宋体" w:eastAsia="宋体" w:cs="宋体"/>
          <w:b w:val="0"/>
          <w:color w:val="auto"/>
          <w:spacing w:val="-4"/>
          <w:sz w:val="30"/>
          <w:szCs w:val="30"/>
        </w:rPr>
      </w:pPr>
    </w:p>
    <w:p w14:paraId="24D7FEF2">
      <w:pPr>
        <w:spacing w:line="540" w:lineRule="exact"/>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二、绩效评价工作开展情况</w:t>
      </w:r>
    </w:p>
    <w:p w14:paraId="3A87546C">
      <w:pPr>
        <w:spacing w:line="540" w:lineRule="exact"/>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（一）绩效评价目的、对象和范围。</w:t>
      </w:r>
    </w:p>
    <w:p w14:paraId="609479E6">
      <w:pPr>
        <w:numPr>
          <w:ilvl w:val="0"/>
          <w:numId w:val="4"/>
        </w:numPr>
        <w:spacing w:line="540" w:lineRule="exact"/>
        <w:ind w:firstLine="584" w:firstLineChars="20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绩效评价目的：</w:t>
      </w:r>
    </w:p>
    <w:p w14:paraId="323ECEB6">
      <w:pPr>
        <w:spacing w:line="540" w:lineRule="exact"/>
        <w:ind w:firstLine="584" w:firstLineChars="20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绩效评价的目的是</w:t>
      </w:r>
      <w:r>
        <w:rPr>
          <w:rStyle w:val="19"/>
          <w:rFonts w:hint="eastAsia" w:ascii="宋体" w:hAnsi="宋体" w:eastAsia="宋体" w:cs="宋体"/>
          <w:b w:val="0"/>
          <w:color w:val="auto"/>
          <w:spacing w:val="-4"/>
          <w:sz w:val="30"/>
          <w:szCs w:val="30"/>
          <w:lang w:eastAsia="zh-CN"/>
        </w:rPr>
        <w:t>通过绩效评价，</w:t>
      </w:r>
      <w:r>
        <w:rPr>
          <w:rStyle w:val="19"/>
          <w:rFonts w:hint="eastAsia" w:ascii="宋体" w:hAnsi="宋体" w:eastAsia="宋体" w:cs="宋体"/>
          <w:b w:val="0"/>
          <w:color w:val="auto"/>
          <w:spacing w:val="-4"/>
          <w:sz w:val="30"/>
          <w:szCs w:val="30"/>
        </w:rPr>
        <w:t>加强预算绩效管理，强化支出责任，建立科学、合理的财政支出绩效评价管理体系，提高财政资金使用效益。</w:t>
      </w:r>
    </w:p>
    <w:p w14:paraId="266F6A4C">
      <w:pPr>
        <w:numPr>
          <w:ilvl w:val="0"/>
          <w:numId w:val="4"/>
        </w:numPr>
        <w:spacing w:line="540" w:lineRule="exact"/>
        <w:ind w:firstLine="584" w:firstLineChars="20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绩效评价对象</w:t>
      </w:r>
      <w:r>
        <w:rPr>
          <w:rStyle w:val="19"/>
          <w:rFonts w:hint="eastAsia" w:ascii="宋体" w:hAnsi="宋体" w:eastAsia="宋体" w:cs="宋体"/>
          <w:b w:val="0"/>
          <w:color w:val="auto"/>
          <w:spacing w:val="-4"/>
          <w:sz w:val="30"/>
          <w:szCs w:val="30"/>
          <w:lang w:eastAsia="zh-CN"/>
        </w:rPr>
        <w:t>和范围</w:t>
      </w:r>
      <w:r>
        <w:rPr>
          <w:rStyle w:val="19"/>
          <w:rFonts w:hint="eastAsia" w:ascii="宋体" w:hAnsi="宋体" w:eastAsia="宋体" w:cs="宋体"/>
          <w:b w:val="0"/>
          <w:color w:val="auto"/>
          <w:spacing w:val="-4"/>
          <w:sz w:val="30"/>
          <w:szCs w:val="30"/>
        </w:rPr>
        <w:t>：</w:t>
      </w:r>
    </w:p>
    <w:p w14:paraId="57452845">
      <w:pPr>
        <w:spacing w:line="540" w:lineRule="exact"/>
        <w:ind w:firstLine="584" w:firstLineChars="20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该项目为201</w:t>
      </w:r>
      <w:r>
        <w:rPr>
          <w:rStyle w:val="19"/>
          <w:rFonts w:hint="eastAsia" w:ascii="宋体" w:hAnsi="宋体" w:eastAsia="宋体" w:cs="宋体"/>
          <w:b w:val="0"/>
          <w:color w:val="auto"/>
          <w:spacing w:val="-4"/>
          <w:sz w:val="30"/>
          <w:szCs w:val="30"/>
          <w:lang w:val="en-US" w:eastAsia="zh-CN"/>
        </w:rPr>
        <w:t>5</w:t>
      </w:r>
      <w:r>
        <w:rPr>
          <w:rStyle w:val="19"/>
          <w:rFonts w:hint="eastAsia" w:ascii="宋体" w:hAnsi="宋体" w:eastAsia="宋体" w:cs="宋体"/>
          <w:b w:val="0"/>
          <w:color w:val="auto"/>
          <w:spacing w:val="-4"/>
          <w:sz w:val="30"/>
          <w:szCs w:val="30"/>
        </w:rPr>
        <w:t>年自治区财政出资项目，属单位自评项目，绩效评价内容一般为预算批复时确定的绩效指标，包括项目的产出数量、质量、时效、成本，以及经济效益、社会效益、生态效益、可持续影响、服务对象满意度等。</w:t>
      </w:r>
    </w:p>
    <w:p w14:paraId="4474B5AC">
      <w:pPr>
        <w:spacing w:line="540" w:lineRule="exact"/>
        <w:ind w:firstLine="584" w:firstLineChars="200"/>
        <w:outlineLvl w:val="0"/>
        <w:rPr>
          <w:rStyle w:val="19"/>
          <w:rFonts w:hint="eastAsia" w:ascii="宋体" w:hAnsi="宋体" w:eastAsia="宋体" w:cs="宋体"/>
          <w:b w:val="0"/>
          <w:color w:val="auto"/>
          <w:spacing w:val="-4"/>
          <w:sz w:val="30"/>
          <w:szCs w:val="30"/>
        </w:rPr>
      </w:pPr>
    </w:p>
    <w:p w14:paraId="5C77E40A">
      <w:pPr>
        <w:spacing w:line="540" w:lineRule="exact"/>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（二）绩效评价原则、评价指标体系（附表说明）、评价方法、评价标准等。</w:t>
      </w:r>
    </w:p>
    <w:p w14:paraId="45F3CBAA">
      <w:pPr>
        <w:numPr>
          <w:ilvl w:val="0"/>
          <w:numId w:val="5"/>
        </w:numPr>
        <w:spacing w:line="540" w:lineRule="exact"/>
        <w:ind w:left="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绩效评价原则：</w:t>
      </w:r>
    </w:p>
    <w:p w14:paraId="121C6809">
      <w:pPr>
        <w:spacing w:line="600" w:lineRule="exact"/>
        <w:ind w:firstLine="640"/>
        <w:rPr>
          <w:rFonts w:hint="eastAsia" w:ascii="宋体" w:hAnsi="宋体" w:eastAsia="宋体" w:cs="宋体"/>
          <w:bCs/>
          <w:color w:val="auto"/>
          <w:sz w:val="30"/>
          <w:szCs w:val="30"/>
        </w:rPr>
      </w:pPr>
      <w:r>
        <w:rPr>
          <w:rFonts w:hint="eastAsia" w:ascii="宋体" w:hAnsi="宋体" w:eastAsia="宋体" w:cs="宋体"/>
          <w:bCs/>
          <w:color w:val="auto"/>
          <w:sz w:val="30"/>
          <w:szCs w:val="30"/>
        </w:rPr>
        <w:t>本项目的绩效评价原则有以下几点：</w:t>
      </w:r>
    </w:p>
    <w:p w14:paraId="0BDD6EB1">
      <w:pPr>
        <w:spacing w:line="600" w:lineRule="exact"/>
        <w:ind w:firstLine="640"/>
        <w:rPr>
          <w:rFonts w:hint="eastAsia" w:ascii="宋体" w:hAnsi="宋体" w:eastAsia="宋体" w:cs="宋体"/>
          <w:bCs/>
          <w:color w:val="auto"/>
          <w:sz w:val="30"/>
          <w:szCs w:val="30"/>
        </w:rPr>
      </w:pPr>
      <w:r>
        <w:rPr>
          <w:rFonts w:hint="eastAsia" w:ascii="宋体" w:hAnsi="宋体" w:eastAsia="宋体" w:cs="宋体"/>
          <w:bCs/>
          <w:color w:val="auto"/>
          <w:sz w:val="30"/>
          <w:szCs w:val="30"/>
        </w:rPr>
        <w:t>（1）、科学公正。绩效评价应当运用科学合理的方法，按照规范的程序，对项目绩效进行客观、公正的反映。</w:t>
      </w:r>
    </w:p>
    <w:p w14:paraId="2F395F58">
      <w:pPr>
        <w:spacing w:line="600" w:lineRule="exact"/>
        <w:ind w:firstLine="640"/>
        <w:rPr>
          <w:rFonts w:hint="eastAsia" w:ascii="宋体" w:hAnsi="宋体" w:eastAsia="宋体" w:cs="宋体"/>
          <w:bCs/>
          <w:color w:val="auto"/>
          <w:sz w:val="30"/>
          <w:szCs w:val="30"/>
        </w:rPr>
      </w:pPr>
      <w:r>
        <w:rPr>
          <w:rFonts w:hint="eastAsia" w:ascii="宋体" w:hAnsi="宋体" w:eastAsia="宋体" w:cs="宋体"/>
          <w:bCs/>
          <w:color w:val="auto"/>
          <w:sz w:val="30"/>
          <w:szCs w:val="30"/>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6E95BEE5">
      <w:pPr>
        <w:spacing w:line="600" w:lineRule="exact"/>
        <w:ind w:firstLine="640"/>
        <w:rPr>
          <w:rFonts w:hint="eastAsia" w:ascii="宋体" w:hAnsi="宋体" w:eastAsia="宋体" w:cs="宋体"/>
          <w:bCs/>
          <w:color w:val="auto"/>
          <w:sz w:val="30"/>
          <w:szCs w:val="30"/>
        </w:rPr>
      </w:pPr>
      <w:r>
        <w:rPr>
          <w:rFonts w:hint="eastAsia" w:ascii="宋体" w:hAnsi="宋体" w:eastAsia="宋体" w:cs="宋体"/>
          <w:bCs/>
          <w:color w:val="auto"/>
          <w:sz w:val="30"/>
          <w:szCs w:val="30"/>
        </w:rPr>
        <w:t>（3）、激励约束。绩效评价结果应与预算安排、政策调整、改进管理实质性挂钩，体现奖优罚劣和激励相容导向，有效要安排、低效要压减、无效要问责。</w:t>
      </w:r>
    </w:p>
    <w:p w14:paraId="762799B3">
      <w:pPr>
        <w:spacing w:line="600" w:lineRule="exact"/>
        <w:ind w:firstLine="640"/>
        <w:rPr>
          <w:rFonts w:hint="eastAsia" w:ascii="宋体" w:hAnsi="宋体" w:eastAsia="宋体" w:cs="宋体"/>
          <w:bCs/>
          <w:color w:val="auto"/>
          <w:sz w:val="30"/>
          <w:szCs w:val="30"/>
        </w:rPr>
      </w:pPr>
      <w:r>
        <w:rPr>
          <w:rFonts w:hint="eastAsia" w:ascii="宋体" w:hAnsi="宋体" w:eastAsia="宋体" w:cs="宋体"/>
          <w:bCs/>
          <w:color w:val="auto"/>
          <w:sz w:val="30"/>
          <w:szCs w:val="30"/>
        </w:rPr>
        <w:t>（4）、公开透明。绩效评价结果应依法依规公开，并自觉接受社会监督。</w:t>
      </w:r>
    </w:p>
    <w:p w14:paraId="1CECFDD6">
      <w:pPr>
        <w:spacing w:line="540" w:lineRule="exact"/>
        <w:outlineLvl w:val="0"/>
        <w:rPr>
          <w:rStyle w:val="19"/>
          <w:rFonts w:hint="eastAsia" w:ascii="宋体" w:hAnsi="宋体" w:eastAsia="宋体" w:cs="宋体"/>
          <w:b w:val="0"/>
          <w:color w:val="auto"/>
          <w:spacing w:val="-4"/>
          <w:sz w:val="30"/>
          <w:szCs w:val="30"/>
        </w:rPr>
      </w:pPr>
    </w:p>
    <w:p w14:paraId="7DF4D2BD">
      <w:pPr>
        <w:numPr>
          <w:ilvl w:val="0"/>
          <w:numId w:val="5"/>
        </w:numPr>
        <w:spacing w:line="540" w:lineRule="exact"/>
        <w:ind w:left="608"/>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绩效评价指标体系：</w:t>
      </w:r>
    </w:p>
    <w:p w14:paraId="17C9BB19">
      <w:pPr>
        <w:spacing w:line="540" w:lineRule="exact"/>
        <w:ind w:firstLine="600" w:firstLineChars="200"/>
        <w:outlineLvl w:val="0"/>
        <w:rPr>
          <w:rStyle w:val="19"/>
          <w:rFonts w:hint="eastAsia" w:ascii="宋体" w:hAnsi="宋体" w:eastAsia="宋体" w:cs="宋体"/>
          <w:b w:val="0"/>
          <w:color w:val="auto"/>
          <w:spacing w:val="-4"/>
          <w:sz w:val="30"/>
          <w:szCs w:val="30"/>
        </w:rPr>
      </w:pPr>
      <w:r>
        <w:rPr>
          <w:rFonts w:hint="eastAsia" w:ascii="宋体" w:hAnsi="宋体" w:eastAsia="宋体" w:cs="宋体"/>
          <w:bCs/>
          <w:color w:val="auto"/>
          <w:sz w:val="30"/>
          <w:szCs w:val="30"/>
          <w:lang w:eastAsia="zh-CN"/>
        </w:rPr>
        <w:t>通过单位自评，</w:t>
      </w:r>
      <w:r>
        <w:rPr>
          <w:rFonts w:hint="eastAsia" w:ascii="宋体" w:hAnsi="宋体" w:eastAsia="宋体" w:cs="宋体"/>
          <w:bCs/>
          <w:color w:val="auto"/>
          <w:sz w:val="30"/>
          <w:szCs w:val="30"/>
        </w:rPr>
        <w:t>财政和部门评价</w:t>
      </w:r>
      <w:r>
        <w:rPr>
          <w:rFonts w:hint="eastAsia" w:ascii="宋体" w:hAnsi="宋体" w:eastAsia="宋体" w:cs="宋体"/>
          <w:bCs/>
          <w:color w:val="auto"/>
          <w:sz w:val="30"/>
          <w:szCs w:val="30"/>
          <w:lang w:eastAsia="zh-CN"/>
        </w:rPr>
        <w:t>对项目的</w:t>
      </w:r>
      <w:r>
        <w:rPr>
          <w:rFonts w:hint="eastAsia" w:ascii="宋体" w:hAnsi="宋体" w:eastAsia="宋体" w:cs="宋体"/>
          <w:bCs/>
          <w:color w:val="auto"/>
          <w:sz w:val="30"/>
          <w:szCs w:val="30"/>
        </w:rPr>
        <w:t>决策情况；资金管理和使用情况；相关管理制度办法的健全性及执行情况；实现的产出情况；取得的效益情况</w:t>
      </w:r>
      <w:r>
        <w:rPr>
          <w:rFonts w:hint="eastAsia" w:ascii="宋体" w:hAnsi="宋体" w:eastAsia="宋体" w:cs="宋体"/>
          <w:bCs/>
          <w:color w:val="auto"/>
          <w:sz w:val="30"/>
          <w:szCs w:val="30"/>
          <w:lang w:eastAsia="zh-CN"/>
        </w:rPr>
        <w:t>等</w:t>
      </w:r>
      <w:r>
        <w:rPr>
          <w:rFonts w:hint="eastAsia" w:ascii="宋体" w:hAnsi="宋体" w:eastAsia="宋体" w:cs="宋体"/>
          <w:bCs/>
          <w:color w:val="auto"/>
          <w:sz w:val="30"/>
          <w:szCs w:val="30"/>
        </w:rPr>
        <w:t>其他相关内容</w:t>
      </w:r>
      <w:r>
        <w:rPr>
          <w:rFonts w:hint="eastAsia" w:ascii="宋体" w:hAnsi="宋体" w:eastAsia="宋体" w:cs="宋体"/>
          <w:bCs/>
          <w:color w:val="auto"/>
          <w:sz w:val="30"/>
          <w:szCs w:val="30"/>
          <w:lang w:eastAsia="zh-CN"/>
        </w:rPr>
        <w:t>进行评价</w:t>
      </w:r>
      <w:r>
        <w:rPr>
          <w:rFonts w:hint="eastAsia" w:ascii="宋体" w:hAnsi="宋体" w:eastAsia="宋体" w:cs="宋体"/>
          <w:bCs/>
          <w:color w:val="auto"/>
          <w:sz w:val="30"/>
          <w:szCs w:val="30"/>
        </w:rPr>
        <w:t>。</w:t>
      </w:r>
      <w:r>
        <w:rPr>
          <w:rFonts w:hint="eastAsia" w:ascii="宋体" w:hAnsi="宋体" w:eastAsia="宋体" w:cs="宋体"/>
          <w:bCs/>
          <w:color w:val="auto"/>
          <w:sz w:val="30"/>
          <w:szCs w:val="30"/>
          <w:lang w:eastAsia="zh-CN"/>
        </w:rPr>
        <w:t>通过</w:t>
      </w:r>
      <w:r>
        <w:rPr>
          <w:rStyle w:val="19"/>
          <w:rFonts w:hint="eastAsia" w:ascii="宋体" w:hAnsi="宋体" w:eastAsia="宋体" w:cs="宋体"/>
          <w:b w:val="0"/>
          <w:color w:val="auto"/>
          <w:spacing w:val="-4"/>
          <w:sz w:val="30"/>
          <w:szCs w:val="30"/>
        </w:rPr>
        <w:t>加强预算绩效管理，强化支出责任，建立科学、合理的财政支出绩效评价管理体系，提高财政资金使用效益。</w:t>
      </w:r>
    </w:p>
    <w:p w14:paraId="3F984EEA">
      <w:pPr>
        <w:spacing w:line="600" w:lineRule="exact"/>
        <w:ind w:firstLine="64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lang w:val="en-US" w:eastAsia="zh-CN"/>
        </w:rPr>
        <w:t>3、</w:t>
      </w:r>
      <w:r>
        <w:rPr>
          <w:rStyle w:val="19"/>
          <w:rFonts w:hint="eastAsia" w:ascii="宋体" w:hAnsi="宋体" w:eastAsia="宋体" w:cs="宋体"/>
          <w:b w:val="0"/>
          <w:color w:val="auto"/>
          <w:spacing w:val="-4"/>
          <w:sz w:val="30"/>
          <w:szCs w:val="30"/>
        </w:rPr>
        <w:t>绩效评价方法：</w:t>
      </w:r>
    </w:p>
    <w:p w14:paraId="2DB5984C">
      <w:pPr>
        <w:spacing w:line="600" w:lineRule="exact"/>
        <w:ind w:firstLine="640"/>
        <w:rPr>
          <w:rFonts w:hint="eastAsia" w:ascii="宋体" w:hAnsi="宋体" w:eastAsia="宋体" w:cs="宋体"/>
          <w:bCs/>
          <w:color w:val="auto"/>
          <w:sz w:val="30"/>
          <w:szCs w:val="30"/>
        </w:rPr>
      </w:pPr>
      <w:r>
        <w:rPr>
          <w:rFonts w:hint="eastAsia" w:ascii="宋体" w:hAnsi="宋体" w:eastAsia="宋体" w:cs="宋体"/>
          <w:b/>
          <w:bCs/>
          <w:color w:val="auto"/>
          <w:sz w:val="30"/>
          <w:szCs w:val="30"/>
        </w:rPr>
        <w:t xml:space="preserve"> </w:t>
      </w:r>
      <w:r>
        <w:rPr>
          <w:rFonts w:hint="eastAsia" w:ascii="宋体" w:hAnsi="宋体" w:eastAsia="宋体" w:cs="宋体"/>
          <w:bCs/>
          <w:color w:val="auto"/>
          <w:sz w:val="30"/>
          <w:szCs w:val="30"/>
        </w:rPr>
        <w:t>绩效评价标准通常包括计划标准、行业标准、历史标准等，用于对绩效指标完成情况进行比较。</w:t>
      </w:r>
    </w:p>
    <w:p w14:paraId="75C6D5CD">
      <w:pPr>
        <w:spacing w:line="600" w:lineRule="exact"/>
        <w:ind w:firstLine="640"/>
        <w:rPr>
          <w:rFonts w:hint="eastAsia" w:ascii="宋体" w:hAnsi="宋体" w:eastAsia="宋体" w:cs="宋体"/>
          <w:bCs/>
          <w:color w:val="auto"/>
          <w:sz w:val="30"/>
          <w:szCs w:val="30"/>
        </w:rPr>
      </w:pPr>
      <w:r>
        <w:rPr>
          <w:rFonts w:hint="eastAsia" w:ascii="宋体" w:hAnsi="宋体" w:eastAsia="宋体" w:cs="宋体"/>
          <w:bCs/>
          <w:color w:val="auto"/>
          <w:sz w:val="30"/>
          <w:szCs w:val="30"/>
        </w:rPr>
        <w:t>（一）计划标准。指以预先制定的目标、计划、预算、定额等作为评价标准。</w:t>
      </w:r>
    </w:p>
    <w:p w14:paraId="24A11D2A">
      <w:pPr>
        <w:spacing w:line="600" w:lineRule="exact"/>
        <w:ind w:firstLine="640"/>
        <w:rPr>
          <w:rFonts w:hint="eastAsia" w:ascii="宋体" w:hAnsi="宋体" w:eastAsia="宋体" w:cs="宋体"/>
          <w:bCs/>
          <w:color w:val="auto"/>
          <w:sz w:val="30"/>
          <w:szCs w:val="30"/>
        </w:rPr>
      </w:pPr>
      <w:r>
        <w:rPr>
          <w:rFonts w:hint="eastAsia" w:ascii="宋体" w:hAnsi="宋体" w:eastAsia="宋体" w:cs="宋体"/>
          <w:bCs/>
          <w:color w:val="auto"/>
          <w:sz w:val="30"/>
          <w:szCs w:val="30"/>
        </w:rPr>
        <w:t>（二）行业标准。指参照国家公布的行业指标数据制定的评价标准。</w:t>
      </w:r>
    </w:p>
    <w:p w14:paraId="20D96A4D">
      <w:pPr>
        <w:spacing w:line="600" w:lineRule="exact"/>
        <w:ind w:firstLine="640"/>
        <w:rPr>
          <w:rFonts w:hint="eastAsia" w:ascii="宋体" w:hAnsi="宋体" w:eastAsia="宋体" w:cs="宋体"/>
          <w:bCs/>
          <w:color w:val="auto"/>
          <w:sz w:val="30"/>
          <w:szCs w:val="30"/>
        </w:rPr>
      </w:pPr>
      <w:r>
        <w:rPr>
          <w:rFonts w:hint="eastAsia" w:ascii="宋体" w:hAnsi="宋体" w:eastAsia="宋体" w:cs="宋体"/>
          <w:bCs/>
          <w:color w:val="auto"/>
          <w:sz w:val="30"/>
          <w:szCs w:val="30"/>
        </w:rPr>
        <w:t>（三）历史标准。指参照历史数据制定的评价标准，为体现绩效改进的原则，在可实现的条件下应当确定相对较高的评价标准。</w:t>
      </w:r>
    </w:p>
    <w:p w14:paraId="05B5328B">
      <w:pPr>
        <w:spacing w:line="600" w:lineRule="exact"/>
        <w:ind w:firstLine="600" w:firstLineChars="200"/>
        <w:rPr>
          <w:rFonts w:hint="eastAsia" w:ascii="宋体" w:hAnsi="宋体" w:eastAsia="宋体" w:cs="宋体"/>
          <w:bCs/>
          <w:color w:val="auto"/>
          <w:sz w:val="30"/>
          <w:szCs w:val="30"/>
        </w:rPr>
      </w:pPr>
      <w:r>
        <w:rPr>
          <w:rFonts w:hint="eastAsia" w:ascii="宋体" w:hAnsi="宋体" w:eastAsia="宋体" w:cs="宋体"/>
          <w:bCs/>
          <w:color w:val="auto"/>
          <w:sz w:val="30"/>
          <w:szCs w:val="30"/>
        </w:rPr>
        <w:t>（四）财政部门和预算部门确认或认可的其他标准。</w:t>
      </w:r>
    </w:p>
    <w:p w14:paraId="1FCEB785">
      <w:pPr>
        <w:spacing w:line="540" w:lineRule="exact"/>
        <w:outlineLvl w:val="0"/>
        <w:rPr>
          <w:rStyle w:val="19"/>
          <w:rFonts w:hint="eastAsia" w:ascii="宋体" w:hAnsi="宋体" w:eastAsia="宋体" w:cs="宋体"/>
          <w:b w:val="0"/>
          <w:color w:val="auto"/>
          <w:spacing w:val="-4"/>
          <w:sz w:val="30"/>
          <w:szCs w:val="30"/>
        </w:rPr>
      </w:pPr>
    </w:p>
    <w:p w14:paraId="1CBA2EC9">
      <w:pPr>
        <w:numPr>
          <w:ilvl w:val="0"/>
          <w:numId w:val="0"/>
        </w:numPr>
        <w:spacing w:line="540" w:lineRule="exact"/>
        <w:ind w:firstLine="584" w:firstLineChars="20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lang w:val="en-US" w:eastAsia="zh-CN"/>
        </w:rPr>
        <w:t>4、</w:t>
      </w:r>
      <w:r>
        <w:rPr>
          <w:rStyle w:val="19"/>
          <w:rFonts w:hint="eastAsia" w:ascii="宋体" w:hAnsi="宋体" w:eastAsia="宋体" w:cs="宋体"/>
          <w:b w:val="0"/>
          <w:color w:val="auto"/>
          <w:spacing w:val="-4"/>
          <w:sz w:val="30"/>
          <w:szCs w:val="30"/>
        </w:rPr>
        <w:t>绩效评价标准：</w:t>
      </w:r>
    </w:p>
    <w:p w14:paraId="23BF6773">
      <w:pPr>
        <w:spacing w:line="600" w:lineRule="exact"/>
        <w:ind w:firstLine="640"/>
        <w:rPr>
          <w:rFonts w:hint="eastAsia" w:ascii="宋体" w:hAnsi="宋体" w:eastAsia="宋体" w:cs="宋体"/>
          <w:bCs/>
          <w:color w:val="auto"/>
          <w:sz w:val="30"/>
          <w:szCs w:val="30"/>
        </w:rPr>
      </w:pPr>
      <w:r>
        <w:rPr>
          <w:rFonts w:hint="eastAsia" w:ascii="宋体" w:hAnsi="宋体" w:eastAsia="宋体" w:cs="宋体"/>
          <w:bCs/>
          <w:color w:val="auto"/>
          <w:sz w:val="30"/>
          <w:szCs w:val="30"/>
        </w:rPr>
        <w:t>单位自评采用定量与定性评价相结合的比较法，总分由各项指标得分汇总形成。</w:t>
      </w:r>
    </w:p>
    <w:p w14:paraId="754009DD">
      <w:pPr>
        <w:spacing w:line="600" w:lineRule="exact"/>
        <w:ind w:firstLine="640"/>
        <w:rPr>
          <w:rFonts w:hint="eastAsia" w:ascii="宋体" w:hAnsi="宋体" w:eastAsia="宋体" w:cs="宋体"/>
          <w:bCs/>
          <w:color w:val="auto"/>
          <w:sz w:val="30"/>
          <w:szCs w:val="30"/>
        </w:rPr>
      </w:pPr>
      <w:r>
        <w:rPr>
          <w:rFonts w:hint="eastAsia" w:ascii="宋体" w:hAnsi="宋体" w:eastAsia="宋体" w:cs="宋体"/>
          <w:bCs/>
          <w:color w:val="auto"/>
          <w:sz w:val="30"/>
          <w:szCs w:val="30"/>
        </w:rPr>
        <w:t>定量指标得分按照以下方法评定：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0D95D1F0">
      <w:pPr>
        <w:spacing w:line="540" w:lineRule="exact"/>
        <w:outlineLvl w:val="0"/>
        <w:rPr>
          <w:rStyle w:val="19"/>
          <w:rFonts w:hint="eastAsia" w:ascii="宋体" w:hAnsi="宋体" w:eastAsia="宋体" w:cs="宋体"/>
          <w:b w:val="0"/>
          <w:color w:val="auto"/>
          <w:spacing w:val="-4"/>
          <w:sz w:val="30"/>
          <w:szCs w:val="30"/>
        </w:rPr>
      </w:pPr>
      <w:r>
        <w:rPr>
          <w:rFonts w:hint="eastAsia" w:ascii="宋体" w:hAnsi="宋体" w:eastAsia="宋体" w:cs="宋体"/>
          <w:bCs/>
          <w:color w:val="auto"/>
          <w:sz w:val="30"/>
          <w:szCs w:val="30"/>
        </w:rPr>
        <w:t>定性指标得分按照以下方法评定：根据指标完成情况分为达成年度指标、部分达成年度指标并具有一定效果、未达成年度指标且效果较差三档，分别按照该指标对应分值区间100%-80%（含）、80%-60%（含）、60%-0%合理确定分值。</w:t>
      </w:r>
    </w:p>
    <w:p w14:paraId="5A5B8A31">
      <w:pPr>
        <w:spacing w:line="540" w:lineRule="exact"/>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（三）绩效评价工作过程。</w:t>
      </w:r>
    </w:p>
    <w:p w14:paraId="428D3BAB">
      <w:pPr>
        <w:spacing w:line="540" w:lineRule="exact"/>
        <w:ind w:left="608" w:firstLine="584" w:firstLineChars="20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根据项目性质确定本次绩效评价为单位自评，由我单位自主实施。针对本次自评，我单位组织、成立单位自评小组，设立绩效指标。自评人员主要为项目</w:t>
      </w:r>
      <w:r>
        <w:rPr>
          <w:rStyle w:val="19"/>
          <w:rFonts w:hint="eastAsia" w:ascii="宋体" w:hAnsi="宋体" w:eastAsia="宋体" w:cs="宋体"/>
          <w:b w:val="0"/>
          <w:color w:val="auto"/>
          <w:spacing w:val="-4"/>
          <w:sz w:val="30"/>
          <w:szCs w:val="30"/>
          <w:lang w:eastAsia="zh-CN"/>
        </w:rPr>
        <w:t>负责人</w:t>
      </w:r>
      <w:r>
        <w:rPr>
          <w:rStyle w:val="19"/>
          <w:rFonts w:hint="eastAsia" w:ascii="宋体" w:hAnsi="宋体" w:eastAsia="宋体" w:cs="宋体"/>
          <w:b w:val="0"/>
          <w:color w:val="auto"/>
          <w:spacing w:val="-4"/>
          <w:sz w:val="30"/>
          <w:szCs w:val="30"/>
        </w:rPr>
        <w:t>、项目预算人员、单位财务管理人员。分别从项目资金管控、项目总体目标完成情况、具体产出、效益、服务对象满意度等方面采用定量与定性评价相结合的比较法进行了评分评级，总分由各项指标得分汇总形成。对出现偏差的方面进行了分析及是否采取了改进措施进行了说明。</w:t>
      </w:r>
    </w:p>
    <w:p w14:paraId="0C7DAB92">
      <w:pPr>
        <w:spacing w:line="540" w:lineRule="exact"/>
        <w:ind w:left="608"/>
        <w:outlineLvl w:val="0"/>
        <w:rPr>
          <w:rStyle w:val="19"/>
          <w:rFonts w:hint="eastAsia" w:ascii="宋体" w:hAnsi="宋体" w:eastAsia="宋体" w:cs="宋体"/>
          <w:b w:val="0"/>
          <w:color w:val="auto"/>
          <w:spacing w:val="-4"/>
          <w:sz w:val="30"/>
          <w:szCs w:val="30"/>
        </w:rPr>
      </w:pPr>
    </w:p>
    <w:p w14:paraId="75F438D8">
      <w:pPr>
        <w:spacing w:line="540" w:lineRule="exact"/>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三、综合评价情况及评价结论（附相关评分表）</w:t>
      </w:r>
    </w:p>
    <w:p w14:paraId="0003A46F">
      <w:pPr>
        <w:spacing w:line="600" w:lineRule="exact"/>
        <w:ind w:firstLine="640"/>
        <w:rPr>
          <w:rStyle w:val="19"/>
          <w:rFonts w:hint="eastAsia" w:ascii="宋体" w:hAnsi="宋体" w:eastAsia="宋体" w:cs="宋体"/>
          <w:b w:val="0"/>
          <w:color w:val="auto"/>
          <w:sz w:val="30"/>
          <w:szCs w:val="30"/>
        </w:rPr>
      </w:pPr>
      <w:r>
        <w:rPr>
          <w:rStyle w:val="19"/>
          <w:rFonts w:hint="eastAsia" w:ascii="宋体" w:hAnsi="宋体" w:eastAsia="宋体" w:cs="宋体"/>
          <w:b w:val="0"/>
          <w:color w:val="auto"/>
          <w:sz w:val="30"/>
          <w:szCs w:val="30"/>
        </w:rPr>
        <w:t>该项目单位自评指标为预算批复时确定的绩效指标，从项目的产出数量、质量、时效、成本，以及经济效益、社会效益、生态效益、可持续影响、服务对象满意度等方面进行综合评价。</w:t>
      </w:r>
    </w:p>
    <w:p w14:paraId="3EC5CDB1">
      <w:pPr>
        <w:spacing w:line="600" w:lineRule="exact"/>
        <w:ind w:firstLine="640"/>
        <w:rPr>
          <w:rStyle w:val="19"/>
          <w:rFonts w:hint="eastAsia" w:ascii="宋体" w:hAnsi="宋体" w:eastAsia="宋体" w:cs="宋体"/>
          <w:b w:val="0"/>
          <w:color w:val="auto"/>
          <w:sz w:val="30"/>
          <w:szCs w:val="30"/>
        </w:rPr>
      </w:pPr>
      <w:r>
        <w:rPr>
          <w:rStyle w:val="19"/>
          <w:rFonts w:hint="eastAsia" w:ascii="宋体" w:hAnsi="宋体" w:eastAsia="宋体" w:cs="宋体"/>
          <w:b w:val="0"/>
          <w:color w:val="auto"/>
          <w:sz w:val="30"/>
          <w:szCs w:val="30"/>
        </w:rPr>
        <w:t>根据项目实际情况，确定项目的单位自评指标权重为：产出指标</w:t>
      </w:r>
      <w:r>
        <w:rPr>
          <w:rStyle w:val="19"/>
          <w:rFonts w:hint="eastAsia" w:ascii="宋体" w:hAnsi="宋体" w:eastAsia="宋体" w:cs="宋体"/>
          <w:b w:val="0"/>
          <w:color w:val="auto"/>
          <w:sz w:val="30"/>
          <w:szCs w:val="30"/>
          <w:lang w:val="en-US" w:eastAsia="zh-CN"/>
        </w:rPr>
        <w:t>60</w:t>
      </w:r>
      <w:r>
        <w:rPr>
          <w:rStyle w:val="19"/>
          <w:rFonts w:hint="eastAsia" w:ascii="宋体" w:hAnsi="宋体" w:eastAsia="宋体" w:cs="宋体"/>
          <w:b w:val="0"/>
          <w:color w:val="auto"/>
          <w:sz w:val="30"/>
          <w:szCs w:val="30"/>
        </w:rPr>
        <w:t>%、效益指标</w:t>
      </w:r>
      <w:r>
        <w:rPr>
          <w:rStyle w:val="19"/>
          <w:rFonts w:hint="eastAsia" w:ascii="宋体" w:hAnsi="宋体" w:eastAsia="宋体" w:cs="宋体"/>
          <w:b w:val="0"/>
          <w:color w:val="auto"/>
          <w:sz w:val="30"/>
          <w:szCs w:val="30"/>
          <w:lang w:val="en-US" w:eastAsia="zh-CN"/>
        </w:rPr>
        <w:t>35</w:t>
      </w:r>
      <w:r>
        <w:rPr>
          <w:rStyle w:val="19"/>
          <w:rFonts w:hint="eastAsia" w:ascii="宋体" w:hAnsi="宋体" w:eastAsia="宋体" w:cs="宋体"/>
          <w:b w:val="0"/>
          <w:color w:val="auto"/>
          <w:sz w:val="30"/>
          <w:szCs w:val="30"/>
        </w:rPr>
        <w:t>%、服务对象满意度指标</w:t>
      </w:r>
      <w:r>
        <w:rPr>
          <w:rStyle w:val="19"/>
          <w:rFonts w:hint="eastAsia" w:ascii="宋体" w:hAnsi="宋体" w:eastAsia="宋体" w:cs="宋体"/>
          <w:b w:val="0"/>
          <w:color w:val="auto"/>
          <w:sz w:val="30"/>
          <w:szCs w:val="30"/>
          <w:lang w:val="en-US" w:eastAsia="zh-CN"/>
        </w:rPr>
        <w:t>5</w:t>
      </w:r>
      <w:r>
        <w:rPr>
          <w:rStyle w:val="19"/>
          <w:rFonts w:hint="eastAsia" w:ascii="宋体" w:hAnsi="宋体" w:eastAsia="宋体" w:cs="宋体"/>
          <w:b w:val="0"/>
          <w:color w:val="auto"/>
          <w:sz w:val="30"/>
          <w:szCs w:val="30"/>
        </w:rPr>
        <w:t>%。</w:t>
      </w:r>
    </w:p>
    <w:p w14:paraId="441E600E">
      <w:pPr>
        <w:spacing w:line="600" w:lineRule="exact"/>
        <w:ind w:firstLine="640"/>
        <w:rPr>
          <w:rStyle w:val="19"/>
          <w:rFonts w:hint="eastAsia" w:ascii="宋体" w:hAnsi="宋体" w:eastAsia="宋体" w:cs="宋体"/>
          <w:b w:val="0"/>
          <w:color w:val="auto"/>
          <w:sz w:val="30"/>
          <w:szCs w:val="30"/>
        </w:rPr>
      </w:pPr>
      <w:r>
        <w:rPr>
          <w:rStyle w:val="19"/>
          <w:rFonts w:hint="eastAsia" w:ascii="宋体" w:hAnsi="宋体" w:eastAsia="宋体" w:cs="宋体"/>
          <w:b w:val="0"/>
          <w:color w:val="auto"/>
          <w:sz w:val="30"/>
          <w:szCs w:val="30"/>
        </w:rPr>
        <w:t>该项目绩效评价结果采取评分和评级相结合的方式，总分由各项指标得分汇总形成。自评结论：总分“9</w:t>
      </w:r>
      <w:r>
        <w:rPr>
          <w:rStyle w:val="19"/>
          <w:rFonts w:hint="eastAsia" w:ascii="宋体" w:hAnsi="宋体" w:eastAsia="宋体" w:cs="宋体"/>
          <w:b w:val="0"/>
          <w:color w:val="auto"/>
          <w:sz w:val="30"/>
          <w:szCs w:val="30"/>
          <w:lang w:val="en-US" w:eastAsia="zh-CN"/>
        </w:rPr>
        <w:t>0</w:t>
      </w:r>
      <w:r>
        <w:rPr>
          <w:rStyle w:val="19"/>
          <w:rFonts w:hint="eastAsia" w:ascii="宋体" w:hAnsi="宋体" w:eastAsia="宋体" w:cs="宋体"/>
          <w:b w:val="0"/>
          <w:color w:val="auto"/>
          <w:sz w:val="30"/>
          <w:szCs w:val="30"/>
        </w:rPr>
        <w:t>”分，结论“优秀”。</w:t>
      </w:r>
    </w:p>
    <w:p w14:paraId="53DDC2A8">
      <w:pPr>
        <w:spacing w:line="540" w:lineRule="exact"/>
        <w:outlineLvl w:val="0"/>
        <w:rPr>
          <w:rStyle w:val="19"/>
          <w:rFonts w:hint="eastAsia" w:ascii="宋体" w:hAnsi="宋体" w:eastAsia="宋体" w:cs="宋体"/>
          <w:b w:val="0"/>
          <w:color w:val="auto"/>
          <w:spacing w:val="-4"/>
          <w:sz w:val="30"/>
          <w:szCs w:val="30"/>
        </w:rPr>
      </w:pPr>
    </w:p>
    <w:p w14:paraId="73B468EF">
      <w:pPr>
        <w:spacing w:line="540" w:lineRule="exact"/>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四、绩效评价指标分析</w:t>
      </w:r>
    </w:p>
    <w:p w14:paraId="1CE2A632">
      <w:pPr>
        <w:spacing w:line="540" w:lineRule="exact"/>
        <w:ind w:left="64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（一）项目决策情况</w:t>
      </w:r>
    </w:p>
    <w:p w14:paraId="1FA11B4D">
      <w:pPr>
        <w:spacing w:line="540" w:lineRule="exact"/>
        <w:ind w:firstLine="600" w:firstLineChars="200"/>
        <w:outlineLvl w:val="0"/>
        <w:rPr>
          <w:rStyle w:val="19"/>
          <w:rFonts w:hint="eastAsia" w:ascii="宋体" w:hAnsi="宋体" w:eastAsia="宋体" w:cs="宋体"/>
          <w:b w:val="0"/>
          <w:color w:val="auto"/>
          <w:spacing w:val="-4"/>
          <w:sz w:val="30"/>
          <w:szCs w:val="30"/>
        </w:rPr>
      </w:pPr>
      <w:r>
        <w:rPr>
          <w:rFonts w:hint="eastAsia" w:ascii="宋体" w:hAnsi="宋体" w:eastAsia="宋体" w:cs="宋体"/>
          <w:color w:val="auto"/>
          <w:sz w:val="30"/>
          <w:szCs w:val="30"/>
          <w:lang w:eastAsia="zh-CN"/>
        </w:rPr>
        <w:t>我单位接到</w:t>
      </w:r>
      <w:r>
        <w:rPr>
          <w:rFonts w:hint="eastAsia" w:ascii="宋体" w:hAnsi="宋体" w:eastAsia="宋体" w:cs="宋体"/>
          <w:color w:val="auto"/>
          <w:sz w:val="30"/>
          <w:szCs w:val="30"/>
        </w:rPr>
        <w:t>新疆维吾尔自治区国土资源厅下发</w:t>
      </w:r>
      <w:r>
        <w:rPr>
          <w:rFonts w:hint="eastAsia" w:ascii="宋体" w:hAnsi="宋体" w:eastAsia="宋体" w:cs="宋体"/>
          <w:color w:val="auto"/>
          <w:sz w:val="30"/>
          <w:szCs w:val="30"/>
          <w:lang w:eastAsia="zh-CN"/>
        </w:rPr>
        <w:t>的</w:t>
      </w:r>
      <w:r>
        <w:rPr>
          <w:rFonts w:hint="eastAsia" w:ascii="宋体" w:hAnsi="宋体" w:eastAsia="宋体" w:cs="宋体"/>
          <w:color w:val="auto"/>
          <w:sz w:val="30"/>
          <w:szCs w:val="30"/>
        </w:rPr>
        <w:t>资金项目任务书，委托</w:t>
      </w:r>
      <w:r>
        <w:rPr>
          <w:rFonts w:hint="eastAsia" w:ascii="宋体" w:hAnsi="宋体" w:eastAsia="宋体" w:cs="宋体"/>
          <w:color w:val="auto"/>
          <w:sz w:val="30"/>
          <w:szCs w:val="30"/>
          <w:lang w:eastAsia="zh-CN"/>
        </w:rPr>
        <w:t>我单位进行</w:t>
      </w:r>
      <w:r>
        <w:rPr>
          <w:rFonts w:hint="eastAsia" w:ascii="宋体" w:hAnsi="宋体" w:eastAsia="宋体" w:cs="宋体"/>
          <w:color w:val="auto"/>
          <w:sz w:val="30"/>
          <w:szCs w:val="30"/>
        </w:rPr>
        <w:t>煤炭</w:t>
      </w:r>
      <w:r>
        <w:rPr>
          <w:rFonts w:hint="eastAsia" w:ascii="宋体" w:hAnsi="宋体" w:eastAsia="宋体" w:cs="宋体"/>
          <w:color w:val="auto"/>
          <w:sz w:val="30"/>
          <w:szCs w:val="30"/>
          <w:lang w:eastAsia="zh-CN"/>
        </w:rPr>
        <w:t>等资源勘查</w:t>
      </w:r>
      <w:r>
        <w:rPr>
          <w:rFonts w:hint="eastAsia" w:ascii="宋体" w:hAnsi="宋体" w:eastAsia="宋体" w:cs="宋体"/>
          <w:color w:val="auto"/>
          <w:sz w:val="30"/>
          <w:szCs w:val="30"/>
        </w:rPr>
        <w:t>工作，</w:t>
      </w:r>
      <w:r>
        <w:rPr>
          <w:rFonts w:hint="eastAsia" w:ascii="宋体" w:hAnsi="宋体" w:eastAsia="宋体" w:cs="宋体"/>
          <w:color w:val="auto"/>
          <w:sz w:val="30"/>
          <w:szCs w:val="30"/>
          <w:lang w:eastAsia="zh-CN"/>
        </w:rPr>
        <w:t>按照</w:t>
      </w:r>
      <w:r>
        <w:rPr>
          <w:rFonts w:hint="eastAsia" w:ascii="宋体" w:hAnsi="宋体" w:eastAsia="宋体" w:cs="宋体"/>
          <w:color w:val="auto"/>
          <w:sz w:val="30"/>
          <w:szCs w:val="30"/>
        </w:rPr>
        <w:t>要求工作</w:t>
      </w:r>
      <w:r>
        <w:rPr>
          <w:rFonts w:hint="eastAsia" w:ascii="宋体" w:hAnsi="宋体" w:eastAsia="宋体" w:cs="宋体"/>
          <w:color w:val="auto"/>
          <w:sz w:val="30"/>
          <w:szCs w:val="30"/>
          <w:lang w:eastAsia="zh-CN"/>
        </w:rPr>
        <w:t>要求</w:t>
      </w:r>
      <w:r>
        <w:rPr>
          <w:rFonts w:hint="eastAsia" w:ascii="宋体" w:hAnsi="宋体" w:eastAsia="宋体" w:cs="宋体"/>
          <w:color w:val="auto"/>
          <w:sz w:val="30"/>
          <w:szCs w:val="30"/>
        </w:rPr>
        <w:t>，</w:t>
      </w:r>
      <w:r>
        <w:rPr>
          <w:rFonts w:hint="eastAsia" w:ascii="宋体" w:hAnsi="宋体" w:eastAsia="宋体" w:cs="宋体"/>
          <w:color w:val="auto"/>
          <w:sz w:val="30"/>
          <w:szCs w:val="30"/>
          <w:lang w:eastAsia="zh-CN"/>
        </w:rPr>
        <w:t>我单位成立专业小组</w:t>
      </w:r>
      <w:r>
        <w:rPr>
          <w:rFonts w:hint="eastAsia" w:ascii="宋体" w:hAnsi="宋体" w:eastAsia="宋体" w:cs="宋体"/>
          <w:color w:val="auto"/>
          <w:sz w:val="30"/>
          <w:szCs w:val="30"/>
        </w:rPr>
        <w:t>提出</w:t>
      </w:r>
      <w:r>
        <w:rPr>
          <w:rFonts w:hint="eastAsia" w:ascii="宋体" w:hAnsi="宋体" w:eastAsia="宋体" w:cs="宋体"/>
          <w:color w:val="auto"/>
          <w:sz w:val="30"/>
          <w:szCs w:val="30"/>
          <w:lang w:eastAsia="zh-CN"/>
        </w:rPr>
        <w:t>工作</w:t>
      </w:r>
      <w:r>
        <w:rPr>
          <w:rFonts w:hint="eastAsia" w:ascii="宋体" w:hAnsi="宋体" w:eastAsia="宋体" w:cs="宋体"/>
          <w:color w:val="auto"/>
          <w:sz w:val="30"/>
          <w:szCs w:val="30"/>
        </w:rPr>
        <w:t>方案，并</w:t>
      </w:r>
      <w:r>
        <w:rPr>
          <w:rFonts w:hint="eastAsia" w:ascii="宋体" w:hAnsi="宋体" w:eastAsia="宋体" w:cs="宋体"/>
          <w:color w:val="auto"/>
          <w:sz w:val="30"/>
          <w:szCs w:val="30"/>
          <w:lang w:eastAsia="zh-CN"/>
        </w:rPr>
        <w:t>及时开展项目工作</w:t>
      </w:r>
      <w:r>
        <w:rPr>
          <w:rFonts w:hint="eastAsia" w:ascii="宋体" w:hAnsi="宋体" w:eastAsia="宋体" w:cs="宋体"/>
          <w:color w:val="auto"/>
          <w:sz w:val="30"/>
          <w:szCs w:val="30"/>
        </w:rPr>
        <w:t>。</w:t>
      </w:r>
    </w:p>
    <w:p w14:paraId="617B65CB">
      <w:pPr>
        <w:spacing w:line="540" w:lineRule="exact"/>
        <w:ind w:firstLine="584" w:firstLineChars="20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（二）项目过程情况</w:t>
      </w:r>
    </w:p>
    <w:p w14:paraId="27D14031">
      <w:pPr>
        <w:spacing w:line="540" w:lineRule="exact"/>
        <w:ind w:left="380" w:leftChars="181"/>
        <w:outlineLvl w:val="0"/>
        <w:rPr>
          <w:rStyle w:val="19"/>
          <w:rFonts w:hint="eastAsia" w:ascii="宋体" w:hAnsi="宋体" w:eastAsia="宋体" w:cs="宋体"/>
          <w:b w:val="0"/>
          <w:color w:val="auto"/>
          <w:spacing w:val="-4"/>
          <w:sz w:val="30"/>
          <w:szCs w:val="30"/>
        </w:rPr>
      </w:pPr>
      <w:r>
        <w:rPr>
          <w:rFonts w:hint="eastAsia" w:ascii="宋体" w:hAnsi="宋体" w:eastAsia="宋体" w:cs="宋体"/>
          <w:color w:val="auto"/>
          <w:sz w:val="30"/>
          <w:szCs w:val="30"/>
          <w:lang w:eastAsia="zh-CN"/>
        </w:rPr>
        <w:t>（</w:t>
      </w:r>
      <w:r>
        <w:rPr>
          <w:rFonts w:hint="eastAsia" w:ascii="宋体" w:hAnsi="宋体" w:eastAsia="宋体" w:cs="宋体"/>
          <w:color w:val="auto"/>
          <w:sz w:val="30"/>
          <w:szCs w:val="30"/>
          <w:lang w:val="en-US" w:eastAsia="zh-CN"/>
        </w:rPr>
        <w:t>1</w:t>
      </w:r>
      <w:r>
        <w:rPr>
          <w:rFonts w:hint="eastAsia" w:ascii="宋体" w:hAnsi="宋体" w:eastAsia="宋体" w:cs="宋体"/>
          <w:color w:val="auto"/>
          <w:sz w:val="30"/>
          <w:szCs w:val="30"/>
          <w:lang w:eastAsia="zh-CN"/>
        </w:rPr>
        <w:t>）新疆哈密市三道岭南勘查区(西一区) 煤炭详查</w:t>
      </w:r>
    </w:p>
    <w:p w14:paraId="17114C1E">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1、2015年5月，新疆维吾尔自治区国土资源厅下发了新疆哈密市三道岭南煤炭资源详查基金项目任务书。</w:t>
      </w:r>
    </w:p>
    <w:p w14:paraId="7EB891F6">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2、2015年11月，国土厅组织专家对该项目进行了野外中期监理，监理通过。</w:t>
      </w:r>
    </w:p>
    <w:p w14:paraId="781E6DE1">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3、2016年3月，一六一煤田地质勘探队对普查工作进行了阶段性的成果回报并提交了详查工作方案，自治区国土资源厅在听取了成果回报后要求在普查工作成果基础上开展详查工作。</w:t>
      </w:r>
    </w:p>
    <w:p w14:paraId="390BD0EC">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4、2016年6月，国土厅组织专家对项目进行了野外安全生产检查，检查通过。</w:t>
      </w:r>
    </w:p>
    <w:p w14:paraId="4E1C4B16">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5、2016年11月9-11日，通过野外竣工验收。</w:t>
      </w:r>
    </w:p>
    <w:p w14:paraId="68411113">
      <w:pPr>
        <w:numPr>
          <w:ilvl w:val="0"/>
          <w:numId w:val="0"/>
        </w:numPr>
        <w:spacing w:line="360" w:lineRule="auto"/>
        <w:rPr>
          <w:rStyle w:val="19"/>
          <w:rFonts w:hint="eastAsia" w:ascii="宋体" w:hAnsi="宋体" w:eastAsia="宋体" w:cs="宋体"/>
          <w:b w:val="0"/>
          <w:color w:val="auto"/>
          <w:spacing w:val="-4"/>
          <w:sz w:val="30"/>
          <w:szCs w:val="30"/>
        </w:rPr>
      </w:pPr>
      <w:r>
        <w:rPr>
          <w:rFonts w:hint="eastAsia" w:ascii="宋体" w:hAnsi="宋体" w:eastAsia="宋体" w:cs="宋体"/>
          <w:color w:val="auto"/>
          <w:sz w:val="30"/>
          <w:szCs w:val="30"/>
          <w:lang w:val="en-US" w:eastAsia="zh-CN"/>
        </w:rPr>
        <w:t>（2）新疆库拜煤田拜城县煤层气开发利用先导性试验</w:t>
      </w:r>
    </w:p>
    <w:p w14:paraId="0F4994B2">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 xml:space="preserve">1、2016年5月27日，新疆国土资源厅、财政厅分别组织有关专家对《新疆库拜煤田拜城县煤层气开发利用先导性试验》工作方案进行了论证，同意立项。                           </w:t>
      </w:r>
    </w:p>
    <w:p w14:paraId="26DB5179">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2、2016年7月1日，新疆维吾尔自治区国土资源厅以新国土资办函[2016]270号文下达项目任务书。</w:t>
      </w:r>
    </w:p>
    <w:p w14:paraId="2056441A">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3、2016年9月3-5日，国土厅组织专家对该项目进行了设计评审，评审通过。</w:t>
      </w:r>
    </w:p>
    <w:p w14:paraId="0176D0D4">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4、2016年9月22日，新疆维吾尔自治区国土资源厅以新国土资办函[2016]304号文下达设计审查意见书。</w:t>
      </w:r>
    </w:p>
    <w:p w14:paraId="7EF06626">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5、2017年11月1日，国土厅组织专家对该项目进行了野外中期监理，监理通过。</w:t>
      </w:r>
    </w:p>
    <w:p w14:paraId="7D381192">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6、2018年5月24日，国土厅组织专家对项目进行了野外安全生产检查，检查通过。</w:t>
      </w:r>
    </w:p>
    <w:p w14:paraId="7F044DBB">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7、2018年11月25-27日，通过野外竣工验收。</w:t>
      </w:r>
    </w:p>
    <w:p w14:paraId="33D0330C">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8、2019年1月8-9日，项目预探报告通过评审。</w:t>
      </w:r>
    </w:p>
    <w:p w14:paraId="5856D69B">
      <w:pPr>
        <w:numPr>
          <w:ilvl w:val="0"/>
          <w:numId w:val="0"/>
        </w:numPr>
        <w:spacing w:line="360" w:lineRule="auto"/>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（3）新疆三塘湖盆地油页岩（页岩气）资源潜力评价</w:t>
      </w:r>
    </w:p>
    <w:p w14:paraId="440AE892">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1、2017年7月—2018年6月，完成立项、相关资料收集工作，开展野外地质调查。</w:t>
      </w:r>
    </w:p>
    <w:p w14:paraId="58CF8CAC">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2、2017年11月10日自治区国土资源厅、财政厅组织有关专家对各年度项目设计进行了评审，形成了设计审查意见并对设计进行了质量评定。新疆煤田地质局一六一煤田地质勘探队及时组织相关技术人员根据专家提出的意见对设计进行了认真修改、补充和完善，并通过了复核。</w:t>
      </w:r>
    </w:p>
    <w:p w14:paraId="71F4A514">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3、2018年7月—2019年6月，二维地震解释，部署地质调查井，完成地质调查井设计论证、钻探施工设计的编写，组织地质调查井施工及采样工作。</w:t>
      </w:r>
    </w:p>
    <w:p w14:paraId="1C8620DC">
      <w:pPr>
        <w:spacing w:line="540" w:lineRule="exact"/>
        <w:ind w:left="380" w:leftChars="181"/>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4、2018年12月1日自治区地勘基金管理中心对该项目进行了监理，通过监理认为：项目工作部署、工程布置符合设计要求，提交的资料收集基本齐全，各类原始资料编录较规范，野外施工及采样符合设计书及相关规范要求。</w:t>
      </w:r>
    </w:p>
    <w:p w14:paraId="45BF2651">
      <w:pPr>
        <w:spacing w:line="540" w:lineRule="exact"/>
        <w:ind w:left="380" w:leftChars="181"/>
        <w:outlineLvl w:val="0"/>
        <w:rPr>
          <w:rStyle w:val="19"/>
          <w:rFonts w:hint="eastAsia" w:ascii="宋体" w:hAnsi="宋体" w:eastAsia="宋体" w:cs="宋体"/>
          <w:b w:val="0"/>
          <w:color w:val="auto"/>
          <w:spacing w:val="-4"/>
          <w:sz w:val="30"/>
          <w:szCs w:val="30"/>
        </w:rPr>
      </w:pPr>
    </w:p>
    <w:p w14:paraId="064B9CD2">
      <w:pPr>
        <w:spacing w:line="540" w:lineRule="exact"/>
        <w:ind w:firstLine="584" w:firstLineChars="20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（三）项目产出情况</w:t>
      </w:r>
    </w:p>
    <w:tbl>
      <w:tblPr>
        <w:tblStyle w:val="17"/>
        <w:tblW w:w="8256" w:type="dxa"/>
        <w:tblInd w:w="0" w:type="dxa"/>
        <w:shd w:val="clear" w:color="auto" w:fill="auto"/>
        <w:tblLayout w:type="fixed"/>
        <w:tblCellMar>
          <w:top w:w="0" w:type="dxa"/>
          <w:left w:w="0" w:type="dxa"/>
          <w:bottom w:w="0" w:type="dxa"/>
          <w:right w:w="0" w:type="dxa"/>
        </w:tblCellMar>
      </w:tblPr>
      <w:tblGrid>
        <w:gridCol w:w="1065"/>
        <w:gridCol w:w="1506"/>
        <w:gridCol w:w="2670"/>
        <w:gridCol w:w="1485"/>
        <w:gridCol w:w="1530"/>
      </w:tblGrid>
      <w:tr w14:paraId="54A9A53A">
        <w:tblPrEx>
          <w:shd w:val="clear" w:color="auto" w:fill="auto"/>
          <w:tblCellMar>
            <w:top w:w="0" w:type="dxa"/>
            <w:left w:w="0" w:type="dxa"/>
            <w:bottom w:w="0" w:type="dxa"/>
            <w:right w:w="0" w:type="dxa"/>
          </w:tblCellMar>
        </w:tblPrEx>
        <w:trPr>
          <w:trHeight w:val="500"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0F2379">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一级指标</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0BC6B5">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二级指标</w:t>
            </w: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F06162">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三级指标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669BA8">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年度指标值</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E5D6AE">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实际完成值</w:t>
            </w:r>
          </w:p>
        </w:tc>
      </w:tr>
      <w:tr w14:paraId="0BF6BAD9">
        <w:tblPrEx>
          <w:tblCellMar>
            <w:top w:w="0" w:type="dxa"/>
            <w:left w:w="0" w:type="dxa"/>
            <w:bottom w:w="0" w:type="dxa"/>
            <w:right w:w="0" w:type="dxa"/>
          </w:tblCellMar>
        </w:tblPrEx>
        <w:trPr>
          <w:trHeight w:val="500" w:hRule="atLeast"/>
        </w:trPr>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A6E011">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产出指标</w:t>
            </w:r>
          </w:p>
        </w:tc>
        <w:tc>
          <w:tcPr>
            <w:tcW w:w="1506"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279B5FA">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数量指标</w:t>
            </w: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10046F">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年度资金执行</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66AEE0">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11481.67</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0BCE5A">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4039.56</w:t>
            </w:r>
          </w:p>
        </w:tc>
      </w:tr>
      <w:tr w14:paraId="26E6B4BB">
        <w:tblPrEx>
          <w:tblCellMar>
            <w:top w:w="0" w:type="dxa"/>
            <w:left w:w="0" w:type="dxa"/>
            <w:bottom w:w="0" w:type="dxa"/>
            <w:right w:w="0" w:type="dxa"/>
          </w:tblCellMar>
        </w:tblPrEx>
        <w:trPr>
          <w:trHeight w:val="5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6B49B1">
            <w:pPr>
              <w:jc w:val="center"/>
              <w:rPr>
                <w:rFonts w:hint="eastAsia" w:ascii="宋体" w:hAnsi="宋体" w:eastAsia="宋体" w:cs="宋体"/>
                <w:i w:val="0"/>
                <w:color w:val="auto"/>
                <w:sz w:val="24"/>
                <w:szCs w:val="24"/>
                <w:u w:val="none"/>
              </w:rPr>
            </w:pPr>
          </w:p>
        </w:tc>
        <w:tc>
          <w:tcPr>
            <w:tcW w:w="150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F4204A0">
            <w:pPr>
              <w:jc w:val="center"/>
              <w:rPr>
                <w:rFonts w:hint="eastAsia" w:ascii="宋体" w:hAnsi="宋体" w:eastAsia="宋体" w:cs="宋体"/>
                <w:i w:val="0"/>
                <w:color w:val="auto"/>
                <w:sz w:val="24"/>
                <w:szCs w:val="24"/>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688A14">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项目数量</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9E4606">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3</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BD8902">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3</w:t>
            </w:r>
          </w:p>
        </w:tc>
      </w:tr>
      <w:tr w14:paraId="21DE3080">
        <w:tblPrEx>
          <w:tblCellMar>
            <w:top w:w="0" w:type="dxa"/>
            <w:left w:w="0" w:type="dxa"/>
            <w:bottom w:w="0" w:type="dxa"/>
            <w:right w:w="0" w:type="dxa"/>
          </w:tblCellMar>
        </w:tblPrEx>
        <w:trPr>
          <w:trHeight w:val="5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C4643A">
            <w:pPr>
              <w:jc w:val="center"/>
              <w:rPr>
                <w:rFonts w:hint="eastAsia" w:ascii="宋体" w:hAnsi="宋体" w:eastAsia="宋体" w:cs="宋体"/>
                <w:i w:val="0"/>
                <w:color w:val="auto"/>
                <w:sz w:val="24"/>
                <w:szCs w:val="24"/>
                <w:u w:val="none"/>
              </w:rPr>
            </w:pPr>
          </w:p>
        </w:tc>
        <w:tc>
          <w:tcPr>
            <w:tcW w:w="1506"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4FB5971">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质量指标</w:t>
            </w: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5E2CED">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质量达标率</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642464">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100%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C4E77C">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100%</w:t>
            </w:r>
          </w:p>
        </w:tc>
      </w:tr>
      <w:tr w14:paraId="48EAF945">
        <w:tblPrEx>
          <w:tblCellMar>
            <w:top w:w="0" w:type="dxa"/>
            <w:left w:w="0" w:type="dxa"/>
            <w:bottom w:w="0" w:type="dxa"/>
            <w:right w:w="0" w:type="dxa"/>
          </w:tblCellMar>
        </w:tblPrEx>
        <w:trPr>
          <w:trHeight w:val="5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70047C">
            <w:pPr>
              <w:jc w:val="center"/>
              <w:rPr>
                <w:rFonts w:hint="eastAsia" w:ascii="宋体" w:hAnsi="宋体" w:eastAsia="宋体" w:cs="宋体"/>
                <w:i w:val="0"/>
                <w:color w:val="auto"/>
                <w:sz w:val="24"/>
                <w:szCs w:val="24"/>
                <w:u w:val="none"/>
              </w:rPr>
            </w:pPr>
          </w:p>
        </w:tc>
        <w:tc>
          <w:tcPr>
            <w:tcW w:w="150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BFD7451">
            <w:pPr>
              <w:jc w:val="center"/>
              <w:rPr>
                <w:rFonts w:hint="eastAsia" w:ascii="宋体" w:hAnsi="宋体" w:eastAsia="宋体" w:cs="宋体"/>
                <w:i w:val="0"/>
                <w:color w:val="auto"/>
                <w:sz w:val="24"/>
                <w:szCs w:val="24"/>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153691">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质量达标产出数</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F8D17F">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100%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9314A3">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100%</w:t>
            </w:r>
          </w:p>
        </w:tc>
      </w:tr>
      <w:tr w14:paraId="0BD4BBC2">
        <w:tblPrEx>
          <w:tblCellMar>
            <w:top w:w="0" w:type="dxa"/>
            <w:left w:w="0" w:type="dxa"/>
            <w:bottom w:w="0" w:type="dxa"/>
            <w:right w:w="0" w:type="dxa"/>
          </w:tblCellMar>
        </w:tblPrEx>
        <w:trPr>
          <w:trHeight w:val="5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245A46">
            <w:pPr>
              <w:jc w:val="center"/>
              <w:rPr>
                <w:rFonts w:hint="eastAsia" w:ascii="宋体" w:hAnsi="宋体" w:eastAsia="宋体" w:cs="宋体"/>
                <w:i w:val="0"/>
                <w:color w:val="auto"/>
                <w:sz w:val="24"/>
                <w:szCs w:val="24"/>
                <w:u w:val="none"/>
              </w:rPr>
            </w:pPr>
          </w:p>
        </w:tc>
        <w:tc>
          <w:tcPr>
            <w:tcW w:w="1506"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85FB77B">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时效指标</w:t>
            </w: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8F0522">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实际完成时间</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20C4F4">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2019.12.31</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FFCC8B">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2019.12.31</w:t>
            </w:r>
          </w:p>
        </w:tc>
      </w:tr>
      <w:tr w14:paraId="43A31127">
        <w:tblPrEx>
          <w:tblCellMar>
            <w:top w:w="0" w:type="dxa"/>
            <w:left w:w="0" w:type="dxa"/>
            <w:bottom w:w="0" w:type="dxa"/>
            <w:right w:w="0" w:type="dxa"/>
          </w:tblCellMar>
        </w:tblPrEx>
        <w:trPr>
          <w:trHeight w:val="5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60AC31">
            <w:pPr>
              <w:jc w:val="center"/>
              <w:rPr>
                <w:rFonts w:hint="eastAsia" w:ascii="宋体" w:hAnsi="宋体" w:eastAsia="宋体" w:cs="宋体"/>
                <w:i w:val="0"/>
                <w:color w:val="auto"/>
                <w:sz w:val="24"/>
                <w:szCs w:val="24"/>
                <w:u w:val="none"/>
              </w:rPr>
            </w:pPr>
          </w:p>
        </w:tc>
        <w:tc>
          <w:tcPr>
            <w:tcW w:w="150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0DE01E2">
            <w:pPr>
              <w:jc w:val="center"/>
              <w:rPr>
                <w:rFonts w:hint="eastAsia" w:ascii="宋体" w:hAnsi="宋体" w:eastAsia="宋体" w:cs="宋体"/>
                <w:i w:val="0"/>
                <w:color w:val="auto"/>
                <w:sz w:val="24"/>
                <w:szCs w:val="24"/>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8F6313">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计划完成时间</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73D418">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2019.12.31</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50306E">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2019.12.31</w:t>
            </w:r>
          </w:p>
        </w:tc>
      </w:tr>
      <w:tr w14:paraId="3D85F0A3">
        <w:tblPrEx>
          <w:tblCellMar>
            <w:top w:w="0" w:type="dxa"/>
            <w:left w:w="0" w:type="dxa"/>
            <w:bottom w:w="0" w:type="dxa"/>
            <w:right w:w="0" w:type="dxa"/>
          </w:tblCellMar>
        </w:tblPrEx>
        <w:trPr>
          <w:trHeight w:val="5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594876">
            <w:pPr>
              <w:jc w:val="center"/>
              <w:rPr>
                <w:rFonts w:hint="eastAsia" w:ascii="宋体" w:hAnsi="宋体" w:eastAsia="宋体" w:cs="宋体"/>
                <w:i w:val="0"/>
                <w:color w:val="auto"/>
                <w:sz w:val="24"/>
                <w:szCs w:val="24"/>
                <w:u w:val="none"/>
              </w:rPr>
            </w:pPr>
          </w:p>
        </w:tc>
        <w:tc>
          <w:tcPr>
            <w:tcW w:w="150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A6F89">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成本指标</w:t>
            </w: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D05438">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成本节约率（计-实/计）</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786C8D">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D5A218">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0</w:t>
            </w:r>
          </w:p>
        </w:tc>
      </w:tr>
      <w:tr w14:paraId="2ED37D25">
        <w:tblPrEx>
          <w:tblCellMar>
            <w:top w:w="0" w:type="dxa"/>
            <w:left w:w="0" w:type="dxa"/>
            <w:bottom w:w="0" w:type="dxa"/>
            <w:right w:w="0" w:type="dxa"/>
          </w:tblCellMar>
        </w:tblPrEx>
        <w:trPr>
          <w:trHeight w:val="5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E4682F">
            <w:pPr>
              <w:jc w:val="center"/>
              <w:rPr>
                <w:rFonts w:hint="eastAsia" w:ascii="宋体" w:hAnsi="宋体" w:eastAsia="宋体" w:cs="宋体"/>
                <w:i w:val="0"/>
                <w:color w:val="auto"/>
                <w:sz w:val="24"/>
                <w:szCs w:val="24"/>
                <w:u w:val="none"/>
              </w:rPr>
            </w:pPr>
          </w:p>
        </w:tc>
        <w:tc>
          <w:tcPr>
            <w:tcW w:w="15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646F7">
            <w:pPr>
              <w:jc w:val="center"/>
              <w:rPr>
                <w:rFonts w:hint="eastAsia" w:ascii="宋体" w:hAnsi="宋体" w:eastAsia="宋体" w:cs="宋体"/>
                <w:i w:val="0"/>
                <w:color w:val="auto"/>
                <w:sz w:val="24"/>
                <w:szCs w:val="24"/>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4E0D2F">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实际成本</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66F81C">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4039.56</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A41FFF">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4039.56</w:t>
            </w:r>
          </w:p>
        </w:tc>
      </w:tr>
      <w:tr w14:paraId="4AF0675E">
        <w:tblPrEx>
          <w:tblCellMar>
            <w:top w:w="0" w:type="dxa"/>
            <w:left w:w="0" w:type="dxa"/>
            <w:bottom w:w="0" w:type="dxa"/>
            <w:right w:w="0" w:type="dxa"/>
          </w:tblCellMar>
        </w:tblPrEx>
        <w:trPr>
          <w:trHeight w:val="5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67E87D">
            <w:pPr>
              <w:jc w:val="center"/>
              <w:rPr>
                <w:rFonts w:hint="eastAsia" w:ascii="宋体" w:hAnsi="宋体" w:eastAsia="宋体" w:cs="宋体"/>
                <w:i w:val="0"/>
                <w:color w:val="auto"/>
                <w:sz w:val="24"/>
                <w:szCs w:val="24"/>
                <w:u w:val="none"/>
              </w:rPr>
            </w:pPr>
          </w:p>
        </w:tc>
        <w:tc>
          <w:tcPr>
            <w:tcW w:w="15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DD4F6">
            <w:pPr>
              <w:jc w:val="center"/>
              <w:rPr>
                <w:rFonts w:hint="eastAsia" w:ascii="宋体" w:hAnsi="宋体" w:eastAsia="宋体" w:cs="宋体"/>
                <w:i w:val="0"/>
                <w:color w:val="auto"/>
                <w:sz w:val="24"/>
                <w:szCs w:val="24"/>
                <w:u w:val="none"/>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799005">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计划成本</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A2D382">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11481.67</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0CEA97">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4039.56</w:t>
            </w:r>
          </w:p>
        </w:tc>
      </w:tr>
    </w:tbl>
    <w:p w14:paraId="79F13516">
      <w:pPr>
        <w:outlineLvl w:val="0"/>
        <w:rPr>
          <w:rStyle w:val="19"/>
          <w:rFonts w:hint="eastAsia" w:ascii="宋体" w:hAnsi="宋体" w:eastAsia="宋体" w:cs="宋体"/>
          <w:b w:val="0"/>
          <w:color w:val="auto"/>
          <w:spacing w:val="-4"/>
          <w:sz w:val="30"/>
          <w:szCs w:val="30"/>
        </w:rPr>
      </w:pPr>
    </w:p>
    <w:p w14:paraId="2365D256">
      <w:pPr>
        <w:numPr>
          <w:ilvl w:val="0"/>
          <w:numId w:val="0"/>
        </w:numPr>
        <w:spacing w:line="540" w:lineRule="exact"/>
        <w:ind w:left="608" w:leftChars="0"/>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lang w:eastAsia="zh-CN"/>
        </w:rPr>
        <w:t>（四）</w:t>
      </w:r>
      <w:r>
        <w:rPr>
          <w:rStyle w:val="19"/>
          <w:rFonts w:hint="eastAsia" w:ascii="宋体" w:hAnsi="宋体" w:eastAsia="宋体" w:cs="宋体"/>
          <w:b w:val="0"/>
          <w:color w:val="auto"/>
          <w:spacing w:val="-4"/>
          <w:sz w:val="30"/>
          <w:szCs w:val="30"/>
        </w:rPr>
        <w:t>项目效益情况</w:t>
      </w:r>
    </w:p>
    <w:tbl>
      <w:tblPr>
        <w:tblStyle w:val="17"/>
        <w:tblW w:w="8241" w:type="dxa"/>
        <w:tblInd w:w="0" w:type="dxa"/>
        <w:shd w:val="clear" w:color="auto" w:fill="auto"/>
        <w:tblLayout w:type="fixed"/>
        <w:tblCellMar>
          <w:top w:w="0" w:type="dxa"/>
          <w:left w:w="0" w:type="dxa"/>
          <w:bottom w:w="0" w:type="dxa"/>
          <w:right w:w="0" w:type="dxa"/>
        </w:tblCellMar>
      </w:tblPr>
      <w:tblGrid>
        <w:gridCol w:w="1065"/>
        <w:gridCol w:w="1506"/>
        <w:gridCol w:w="2685"/>
        <w:gridCol w:w="1455"/>
        <w:gridCol w:w="1530"/>
      </w:tblGrid>
      <w:tr w14:paraId="3F4B6B49">
        <w:tblPrEx>
          <w:shd w:val="clear" w:color="auto" w:fill="auto"/>
          <w:tblCellMar>
            <w:top w:w="0" w:type="dxa"/>
            <w:left w:w="0" w:type="dxa"/>
            <w:bottom w:w="0" w:type="dxa"/>
            <w:right w:w="0" w:type="dxa"/>
          </w:tblCellMar>
        </w:tblPrEx>
        <w:trPr>
          <w:trHeight w:val="500"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98A765">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一级指标</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9B0CE7">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二级指标</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0D5C39">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三级指标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99D0A9">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年度指标值</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1897CD">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实际完成值</w:t>
            </w:r>
          </w:p>
        </w:tc>
      </w:tr>
      <w:tr w14:paraId="5B9DBE68">
        <w:tblPrEx>
          <w:tblCellMar>
            <w:top w:w="0" w:type="dxa"/>
            <w:left w:w="0" w:type="dxa"/>
            <w:bottom w:w="0" w:type="dxa"/>
            <w:right w:w="0" w:type="dxa"/>
          </w:tblCellMar>
        </w:tblPrEx>
        <w:trPr>
          <w:trHeight w:val="500" w:hRule="atLeast"/>
        </w:trPr>
        <w:tc>
          <w:tcPr>
            <w:tcW w:w="1065" w:type="dxa"/>
            <w:vMerge w:val="restar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14:paraId="4CFD7A58">
            <w:pPr>
              <w:jc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效益指标</w:t>
            </w:r>
          </w:p>
        </w:tc>
        <w:tc>
          <w:tcPr>
            <w:tcW w:w="150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A5E38">
            <w:pPr>
              <w:jc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经济效益指标</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0E0930">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计划成本</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78B553">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11481.67</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099027">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4039.56</w:t>
            </w:r>
          </w:p>
        </w:tc>
      </w:tr>
      <w:tr w14:paraId="4672DC45">
        <w:tblPrEx>
          <w:tblCellMar>
            <w:top w:w="0" w:type="dxa"/>
            <w:left w:w="0" w:type="dxa"/>
            <w:bottom w:w="0" w:type="dxa"/>
            <w:right w:w="0" w:type="dxa"/>
          </w:tblCellMar>
        </w:tblPrEx>
        <w:trPr>
          <w:trHeight w:val="500" w:hRule="atLeast"/>
        </w:trPr>
        <w:tc>
          <w:tcPr>
            <w:tcW w:w="1065" w:type="dxa"/>
            <w:vMerge w:val="continue"/>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14:paraId="6EEABDF3">
            <w:pPr>
              <w:keepNext w:val="0"/>
              <w:keepLines w:val="0"/>
              <w:widowControl/>
              <w:suppressLineNumbers w:val="0"/>
              <w:jc w:val="center"/>
              <w:textAlignment w:val="center"/>
              <w:rPr>
                <w:rFonts w:hint="eastAsia" w:ascii="宋体" w:hAnsi="宋体" w:eastAsia="宋体" w:cs="宋体"/>
                <w:i w:val="0"/>
                <w:color w:val="auto"/>
                <w:sz w:val="24"/>
                <w:szCs w:val="24"/>
                <w:u w:val="none"/>
              </w:rPr>
            </w:pPr>
          </w:p>
        </w:tc>
        <w:tc>
          <w:tcPr>
            <w:tcW w:w="15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DFC6C">
            <w:pPr>
              <w:keepNext w:val="0"/>
              <w:keepLines w:val="0"/>
              <w:widowControl/>
              <w:suppressLineNumbers w:val="0"/>
              <w:jc w:val="center"/>
              <w:textAlignment w:val="center"/>
              <w:rPr>
                <w:rFonts w:hint="eastAsia" w:ascii="宋体" w:hAnsi="宋体" w:eastAsia="宋体" w:cs="宋体"/>
                <w:i w:val="0"/>
                <w:color w:val="auto"/>
                <w:sz w:val="24"/>
                <w:szCs w:val="24"/>
                <w:u w:val="none"/>
              </w:rPr>
            </w:pPr>
          </w:p>
        </w:tc>
        <w:tc>
          <w:tcPr>
            <w:tcW w:w="2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5E53B">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保证煤炭资源充分利用，引导经济健康发展</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668F62">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有利于</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7F1384">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有利于</w:t>
            </w:r>
          </w:p>
        </w:tc>
      </w:tr>
      <w:tr w14:paraId="2157D22C">
        <w:tblPrEx>
          <w:tblCellMar>
            <w:top w:w="0" w:type="dxa"/>
            <w:left w:w="0" w:type="dxa"/>
            <w:bottom w:w="0" w:type="dxa"/>
            <w:right w:w="0" w:type="dxa"/>
          </w:tblCellMar>
        </w:tblPrEx>
        <w:trPr>
          <w:trHeight w:val="500" w:hRule="atLeast"/>
        </w:trPr>
        <w:tc>
          <w:tcPr>
            <w:tcW w:w="1065" w:type="dxa"/>
            <w:vMerge w:val="continue"/>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14:paraId="5303620E">
            <w:pPr>
              <w:jc w:val="center"/>
              <w:rPr>
                <w:rFonts w:hint="eastAsia" w:ascii="宋体" w:hAnsi="宋体" w:eastAsia="宋体" w:cs="宋体"/>
                <w:i w:val="0"/>
                <w:color w:val="auto"/>
                <w:sz w:val="24"/>
                <w:szCs w:val="24"/>
                <w:u w:val="none"/>
              </w:rPr>
            </w:pPr>
          </w:p>
        </w:tc>
        <w:tc>
          <w:tcPr>
            <w:tcW w:w="150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87FBA">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社会效益指标</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28EE06">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业务能力提升情况</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65AD9">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100%</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B2912">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100%</w:t>
            </w:r>
          </w:p>
        </w:tc>
      </w:tr>
      <w:tr w14:paraId="3FCD22F6">
        <w:tblPrEx>
          <w:tblCellMar>
            <w:top w:w="0" w:type="dxa"/>
            <w:left w:w="0" w:type="dxa"/>
            <w:bottom w:w="0" w:type="dxa"/>
            <w:right w:w="0" w:type="dxa"/>
          </w:tblCellMar>
        </w:tblPrEx>
        <w:trPr>
          <w:trHeight w:val="500" w:hRule="atLeast"/>
        </w:trPr>
        <w:tc>
          <w:tcPr>
            <w:tcW w:w="1065" w:type="dxa"/>
            <w:vMerge w:val="continue"/>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14:paraId="7CE9C759">
            <w:pPr>
              <w:jc w:val="center"/>
              <w:rPr>
                <w:rFonts w:hint="eastAsia" w:ascii="宋体" w:hAnsi="宋体" w:eastAsia="宋体" w:cs="宋体"/>
                <w:i w:val="0"/>
                <w:color w:val="auto"/>
                <w:sz w:val="24"/>
                <w:szCs w:val="24"/>
                <w:u w:val="none"/>
              </w:rPr>
            </w:pPr>
          </w:p>
        </w:tc>
        <w:tc>
          <w:tcPr>
            <w:tcW w:w="15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72870">
            <w:pPr>
              <w:jc w:val="center"/>
              <w:rPr>
                <w:rFonts w:hint="eastAsia" w:ascii="宋体" w:hAnsi="宋体" w:eastAsia="宋体" w:cs="宋体"/>
                <w:i w:val="0"/>
                <w:color w:val="auto"/>
                <w:sz w:val="24"/>
                <w:szCs w:val="24"/>
                <w:u w:val="none"/>
              </w:rPr>
            </w:pP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1D62CC">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公共服务水平提升情况</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31FE9">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100%</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D5D47">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100%</w:t>
            </w:r>
          </w:p>
        </w:tc>
      </w:tr>
      <w:tr w14:paraId="26D2A27B">
        <w:tblPrEx>
          <w:tblCellMar>
            <w:top w:w="0" w:type="dxa"/>
            <w:left w:w="0" w:type="dxa"/>
            <w:bottom w:w="0" w:type="dxa"/>
            <w:right w:w="0" w:type="dxa"/>
          </w:tblCellMar>
        </w:tblPrEx>
        <w:trPr>
          <w:trHeight w:val="500" w:hRule="atLeast"/>
        </w:trPr>
        <w:tc>
          <w:tcPr>
            <w:tcW w:w="1065" w:type="dxa"/>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128137">
            <w:pPr>
              <w:jc w:val="center"/>
              <w:rPr>
                <w:rFonts w:hint="eastAsia" w:ascii="宋体" w:hAnsi="宋体" w:eastAsia="宋体" w:cs="宋体"/>
                <w:i w:val="0"/>
                <w:color w:val="auto"/>
                <w:sz w:val="24"/>
                <w:szCs w:val="24"/>
                <w:u w:val="none"/>
              </w:rPr>
            </w:pPr>
          </w:p>
        </w:tc>
        <w:tc>
          <w:tcPr>
            <w:tcW w:w="150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34FDC">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可持续影响指标生态效益指标</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ABCA0D">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生态平衡</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ED314F">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不可破坏</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B77536">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未破坏</w:t>
            </w:r>
          </w:p>
        </w:tc>
      </w:tr>
      <w:tr w14:paraId="5D68E407">
        <w:tblPrEx>
          <w:tblCellMar>
            <w:top w:w="0" w:type="dxa"/>
            <w:left w:w="0" w:type="dxa"/>
            <w:bottom w:w="0" w:type="dxa"/>
            <w:right w:w="0" w:type="dxa"/>
          </w:tblCellMar>
        </w:tblPrEx>
        <w:trPr>
          <w:trHeight w:val="500"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014096">
            <w:pPr>
              <w:jc w:val="center"/>
              <w:rPr>
                <w:rFonts w:hint="eastAsia" w:ascii="宋体" w:hAnsi="宋体" w:eastAsia="宋体" w:cs="宋体"/>
                <w:i w:val="0"/>
                <w:color w:val="auto"/>
                <w:sz w:val="24"/>
                <w:szCs w:val="24"/>
                <w:u w:val="none"/>
              </w:rPr>
            </w:pPr>
          </w:p>
        </w:tc>
        <w:tc>
          <w:tcPr>
            <w:tcW w:w="15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EEFF7">
            <w:pPr>
              <w:keepNext w:val="0"/>
              <w:keepLines w:val="0"/>
              <w:widowControl/>
              <w:suppressLineNumbers w:val="0"/>
              <w:jc w:val="center"/>
              <w:textAlignment w:val="center"/>
              <w:rPr>
                <w:rFonts w:hint="eastAsia" w:ascii="宋体" w:hAnsi="宋体" w:eastAsia="宋体" w:cs="宋体"/>
                <w:i w:val="0"/>
                <w:color w:val="auto"/>
                <w:sz w:val="24"/>
                <w:szCs w:val="24"/>
                <w:u w:val="none"/>
              </w:rPr>
            </w:pP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D55DE8">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社会经济可持续发展</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3076CD">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有利于</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DB018E">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有利于</w:t>
            </w:r>
          </w:p>
        </w:tc>
      </w:tr>
    </w:tbl>
    <w:p w14:paraId="23896638">
      <w:pPr>
        <w:spacing w:line="540" w:lineRule="exact"/>
        <w:ind w:left="608"/>
        <w:outlineLvl w:val="0"/>
        <w:rPr>
          <w:rStyle w:val="19"/>
          <w:rFonts w:hint="eastAsia" w:ascii="宋体" w:hAnsi="宋体" w:eastAsia="宋体" w:cs="宋体"/>
          <w:b w:val="0"/>
          <w:color w:val="auto"/>
          <w:spacing w:val="-4"/>
          <w:sz w:val="30"/>
          <w:szCs w:val="30"/>
        </w:rPr>
      </w:pPr>
    </w:p>
    <w:p w14:paraId="521EE0A9">
      <w:pPr>
        <w:spacing w:line="540" w:lineRule="exact"/>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五、主要经验及做法、存在的问题及原因分析</w:t>
      </w:r>
    </w:p>
    <w:p w14:paraId="35E40E10">
      <w:pPr>
        <w:spacing w:line="540" w:lineRule="exact"/>
        <w:ind w:firstLine="584" w:firstLineChars="200"/>
        <w:outlineLvl w:val="0"/>
        <w:rPr>
          <w:rFonts w:hint="eastAsia" w:ascii="宋体" w:hAnsi="宋体" w:eastAsia="宋体" w:cs="宋体"/>
          <w:bCs/>
          <w:color w:val="auto"/>
          <w:spacing w:val="-4"/>
          <w:sz w:val="30"/>
          <w:szCs w:val="30"/>
        </w:rPr>
      </w:pPr>
      <w:r>
        <w:rPr>
          <w:rFonts w:hint="eastAsia" w:ascii="宋体" w:hAnsi="宋体" w:eastAsia="宋体" w:cs="宋体"/>
          <w:bCs/>
          <w:color w:val="auto"/>
          <w:spacing w:val="-4"/>
          <w:sz w:val="30"/>
          <w:szCs w:val="30"/>
        </w:rPr>
        <w:t>1、盆地区域地质构造复杂，多期构造运动叠加，评价区研究难度较大。目前研究区对三叠系~石炭系地层的勘查程度较低，可利用参考的资料较少，且地震品质较差，导致盆地内个别区域地层、断层的识别难免存在误差，可靠性尚需通过后期钻井进一步验证。</w:t>
      </w:r>
    </w:p>
    <w:p w14:paraId="21CAB564">
      <w:pPr>
        <w:spacing w:line="540" w:lineRule="exact"/>
        <w:ind w:firstLine="584" w:firstLineChars="200"/>
        <w:outlineLvl w:val="0"/>
        <w:rPr>
          <w:rFonts w:hint="eastAsia" w:ascii="宋体" w:hAnsi="宋体" w:eastAsia="宋体" w:cs="宋体"/>
          <w:bCs/>
          <w:color w:val="auto"/>
          <w:spacing w:val="-4"/>
          <w:sz w:val="30"/>
          <w:szCs w:val="30"/>
        </w:rPr>
      </w:pPr>
      <w:r>
        <w:rPr>
          <w:rFonts w:hint="eastAsia" w:ascii="宋体" w:hAnsi="宋体" w:eastAsia="宋体" w:cs="宋体"/>
          <w:bCs/>
          <w:color w:val="auto"/>
          <w:spacing w:val="-4"/>
          <w:sz w:val="30"/>
          <w:szCs w:val="30"/>
        </w:rPr>
        <w:t>2、本次评价工作揭露了区块具有多层系、多类型的油气资源并存的特点，不同类型的油气资源勘探评价方法要求具有针对性和差异化。由于工作量的限制，目前仅在汉水泉凹陷打了1口参数评价井，揭示了此区域的部分地层分布情况，未打到石炭系地层，导致对石炭系地层含油气性、储层分布、生烃潜力认识相对局限。</w:t>
      </w:r>
    </w:p>
    <w:p w14:paraId="7BBCF485">
      <w:pPr>
        <w:spacing w:line="540" w:lineRule="exact"/>
        <w:ind w:firstLine="584" w:firstLineChars="200"/>
        <w:outlineLvl w:val="0"/>
        <w:rPr>
          <w:rFonts w:hint="eastAsia" w:ascii="宋体" w:hAnsi="宋体" w:eastAsia="宋体" w:cs="宋体"/>
          <w:bCs/>
          <w:color w:val="auto"/>
          <w:spacing w:val="-4"/>
          <w:sz w:val="30"/>
          <w:szCs w:val="30"/>
        </w:rPr>
      </w:pPr>
      <w:r>
        <w:rPr>
          <w:rFonts w:hint="eastAsia" w:ascii="宋体" w:hAnsi="宋体" w:eastAsia="宋体" w:cs="宋体"/>
          <w:bCs/>
          <w:color w:val="auto"/>
          <w:spacing w:val="-4"/>
          <w:sz w:val="30"/>
          <w:szCs w:val="30"/>
        </w:rPr>
        <w:t>3、研究区面积较大，单口井对整个研究区的指导意义非常局限，本次研究重点通过区块类比及地质理论分析，筛查并预测了区内不同类型油气资源的优势分布区，后期需通过钻井进一步优化，提高三叠系、二叠系地层油气资源的控制程度。</w:t>
      </w:r>
    </w:p>
    <w:p w14:paraId="1A927625">
      <w:pPr>
        <w:spacing w:line="540" w:lineRule="exact"/>
        <w:ind w:firstLine="584" w:firstLineChars="200"/>
        <w:outlineLvl w:val="0"/>
        <w:rPr>
          <w:rFonts w:hint="eastAsia" w:ascii="宋体" w:hAnsi="宋体" w:eastAsia="宋体" w:cs="宋体"/>
          <w:bCs/>
          <w:color w:val="auto"/>
          <w:spacing w:val="-4"/>
          <w:sz w:val="30"/>
          <w:szCs w:val="30"/>
        </w:rPr>
      </w:pPr>
      <w:r>
        <w:rPr>
          <w:rFonts w:hint="eastAsia" w:ascii="宋体" w:hAnsi="宋体" w:eastAsia="宋体" w:cs="宋体"/>
          <w:bCs/>
          <w:color w:val="auto"/>
          <w:spacing w:val="-4"/>
          <w:sz w:val="30"/>
          <w:szCs w:val="30"/>
        </w:rPr>
        <w:t>4、本报告中在资源量计算方面能利用的参数有限，以各种计算参数概率值为50所计算的资源量仅为页岩油气预测地质资源量，其准确性和可靠性尚需进一步验证。</w:t>
      </w:r>
    </w:p>
    <w:p w14:paraId="40C4A3D1">
      <w:pPr>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六、有关建议</w:t>
      </w:r>
    </w:p>
    <w:p w14:paraId="319E0D86">
      <w:pPr>
        <w:ind w:firstLine="584" w:firstLineChars="200"/>
        <w:outlineLvl w:val="0"/>
        <w:rPr>
          <w:rFonts w:hint="eastAsia" w:ascii="宋体" w:hAnsi="宋体" w:eastAsia="宋体" w:cs="宋体"/>
          <w:bCs/>
          <w:color w:val="auto"/>
          <w:spacing w:val="-4"/>
          <w:sz w:val="30"/>
          <w:szCs w:val="30"/>
        </w:rPr>
      </w:pPr>
      <w:r>
        <w:rPr>
          <w:rFonts w:hint="eastAsia" w:ascii="宋体" w:hAnsi="宋体" w:eastAsia="宋体" w:cs="宋体"/>
          <w:bCs/>
          <w:color w:val="auto"/>
          <w:spacing w:val="-4"/>
          <w:sz w:val="30"/>
          <w:szCs w:val="30"/>
        </w:rPr>
        <w:t>1、深化页岩油气资源的富集规律认识，优选勘探靶区。鉴于研究区二维地震品质较差，测线稀疏，对后期页岩油气的勘探指导相对有限，建议在汉水泉页岩油气有利区部署地震，以提高对地层、构造的识别和刻画，甜点区的刻画，为后期勘探靶区的评价及部井提供依据。</w:t>
      </w:r>
    </w:p>
    <w:p w14:paraId="3493E945">
      <w:pPr>
        <w:ind w:firstLine="584" w:firstLineChars="200"/>
        <w:outlineLvl w:val="0"/>
        <w:rPr>
          <w:rFonts w:hint="eastAsia" w:ascii="宋体" w:hAnsi="宋体" w:eastAsia="宋体" w:cs="宋体"/>
          <w:bCs/>
          <w:color w:val="auto"/>
          <w:spacing w:val="-4"/>
          <w:sz w:val="30"/>
          <w:szCs w:val="30"/>
        </w:rPr>
      </w:pPr>
      <w:r>
        <w:rPr>
          <w:rFonts w:hint="eastAsia" w:ascii="宋体" w:hAnsi="宋体" w:eastAsia="宋体" w:cs="宋体"/>
          <w:bCs/>
          <w:color w:val="auto"/>
          <w:spacing w:val="-4"/>
          <w:sz w:val="30"/>
          <w:szCs w:val="30"/>
        </w:rPr>
        <w:t>2、突出油气资源评价的差异性，优化勘探方法。针对三塘湖盆地多类型油气资源共存的现状，需根据不同的资源禀赋，深化勘探方法和流程，建议在页岩油气勘探过程中对目的层段需采用密闭取芯方式，提高油气资源地质评价参数的可靠性。</w:t>
      </w:r>
    </w:p>
    <w:p w14:paraId="1148F861">
      <w:pPr>
        <w:ind w:firstLine="584" w:firstLineChars="200"/>
        <w:outlineLvl w:val="0"/>
        <w:rPr>
          <w:rFonts w:hint="eastAsia" w:ascii="宋体" w:hAnsi="宋体" w:eastAsia="宋体" w:cs="宋体"/>
          <w:bCs/>
          <w:color w:val="auto"/>
          <w:spacing w:val="-4"/>
          <w:sz w:val="30"/>
          <w:szCs w:val="30"/>
        </w:rPr>
      </w:pPr>
      <w:r>
        <w:rPr>
          <w:rFonts w:hint="eastAsia" w:ascii="宋体" w:hAnsi="宋体" w:eastAsia="宋体" w:cs="宋体"/>
          <w:bCs/>
          <w:color w:val="auto"/>
          <w:spacing w:val="-4"/>
          <w:sz w:val="30"/>
          <w:szCs w:val="30"/>
        </w:rPr>
        <w:t>3、深化认识，扩大页岩油气发现成果。鉴于三塘湖盆地地质条件的复杂性及页岩油气地质特征的独特性，建议在本次工作优选页岩油气远景区的基础上，在汉水泉凹陷南边部位部署1-2口评价井，进一步深化三塘湖盆地页岩油气地质特征及含油性规律认识，扩大油气发现成果。</w:t>
      </w:r>
    </w:p>
    <w:p w14:paraId="376B7697">
      <w:pPr>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六、有关建议</w:t>
      </w:r>
    </w:p>
    <w:p w14:paraId="7BBF8538">
      <w:pPr>
        <w:ind w:firstLine="584" w:firstLineChars="200"/>
        <w:outlineLvl w:val="0"/>
        <w:rPr>
          <w:rFonts w:hint="eastAsia" w:ascii="宋体" w:hAnsi="宋体" w:eastAsia="宋体" w:cs="宋体"/>
          <w:bCs/>
          <w:color w:val="auto"/>
          <w:spacing w:val="-4"/>
          <w:sz w:val="30"/>
          <w:szCs w:val="30"/>
        </w:rPr>
      </w:pPr>
      <w:r>
        <w:rPr>
          <w:rFonts w:hint="eastAsia" w:ascii="宋体" w:hAnsi="宋体" w:eastAsia="宋体" w:cs="宋体"/>
          <w:bCs/>
          <w:color w:val="auto"/>
          <w:spacing w:val="-4"/>
          <w:sz w:val="30"/>
          <w:szCs w:val="30"/>
        </w:rPr>
        <w:t>1、深化页岩油气资源的富集规律认识，优选勘探靶区。鉴于研究区二维地震品质较差，测线稀疏，对后期页岩油气的勘探指导相对有限，建议在汉水泉页岩油气有利区部署地震，以提高对地层、构造的识别和刻画，甜点区的刻画，为后期勘探靶区的评价及部井提供依据。</w:t>
      </w:r>
    </w:p>
    <w:p w14:paraId="1FD01B6B">
      <w:pPr>
        <w:ind w:firstLine="584" w:firstLineChars="200"/>
        <w:outlineLvl w:val="0"/>
        <w:rPr>
          <w:rFonts w:hint="eastAsia" w:ascii="宋体" w:hAnsi="宋体" w:eastAsia="宋体" w:cs="宋体"/>
          <w:bCs/>
          <w:color w:val="auto"/>
          <w:spacing w:val="-4"/>
          <w:sz w:val="30"/>
          <w:szCs w:val="30"/>
        </w:rPr>
      </w:pPr>
      <w:r>
        <w:rPr>
          <w:rFonts w:hint="eastAsia" w:ascii="宋体" w:hAnsi="宋体" w:eastAsia="宋体" w:cs="宋体"/>
          <w:bCs/>
          <w:color w:val="auto"/>
          <w:spacing w:val="-4"/>
          <w:sz w:val="30"/>
          <w:szCs w:val="30"/>
        </w:rPr>
        <w:t>2、突出油气资源评价的差异性，优化勘探方法。针对三塘湖盆地多类型油气资源共存的现状，需根据不同的资源禀赋，深化勘探方法和流程，建议在页岩油气勘探过程中对目的层段需采用密闭取芯方式，提高油气资源地质评价参数的可靠性。</w:t>
      </w:r>
    </w:p>
    <w:p w14:paraId="5BFB9A44">
      <w:pPr>
        <w:ind w:firstLine="584" w:firstLineChars="200"/>
        <w:outlineLvl w:val="0"/>
        <w:rPr>
          <w:rFonts w:hint="eastAsia" w:ascii="宋体" w:hAnsi="宋体" w:eastAsia="宋体" w:cs="宋体"/>
          <w:bCs/>
          <w:color w:val="auto"/>
          <w:spacing w:val="-4"/>
          <w:sz w:val="30"/>
          <w:szCs w:val="30"/>
        </w:rPr>
      </w:pPr>
      <w:r>
        <w:rPr>
          <w:rFonts w:hint="eastAsia" w:ascii="宋体" w:hAnsi="宋体" w:eastAsia="宋体" w:cs="宋体"/>
          <w:bCs/>
          <w:color w:val="auto"/>
          <w:spacing w:val="-4"/>
          <w:sz w:val="30"/>
          <w:szCs w:val="30"/>
        </w:rPr>
        <w:t>3、深化认识，扩大页岩油气发现成果。鉴于三塘湖盆地地质条件的复杂性及页岩油气地质特征的独特性，建议在本次工作优选页岩油气远景区的基础上，在汉水泉凹陷南边部位部署1-2口评价井，进一步深化三塘湖盆地页岩油气地质特征及含油性规律认识，扩大油气发现成果。</w:t>
      </w:r>
    </w:p>
    <w:p w14:paraId="67E77CC0">
      <w:pPr>
        <w:ind w:firstLine="584" w:firstLineChars="200"/>
        <w:outlineLvl w:val="0"/>
        <w:rPr>
          <w:rStyle w:val="19"/>
          <w:rFonts w:hint="eastAsia" w:ascii="宋体" w:hAnsi="宋体" w:eastAsia="宋体" w:cs="宋体"/>
          <w:b w:val="0"/>
          <w:color w:val="auto"/>
          <w:spacing w:val="-4"/>
          <w:sz w:val="30"/>
          <w:szCs w:val="30"/>
        </w:rPr>
      </w:pPr>
    </w:p>
    <w:p w14:paraId="26CADAE2">
      <w:pPr>
        <w:numPr>
          <w:ilvl w:val="0"/>
          <w:numId w:val="6"/>
        </w:numPr>
        <w:outlineLvl w:val="0"/>
        <w:rPr>
          <w:rStyle w:val="19"/>
          <w:rFonts w:hint="eastAsia" w:ascii="宋体" w:hAnsi="宋体" w:eastAsia="宋体" w:cs="宋体"/>
          <w:b w:val="0"/>
          <w:color w:val="auto"/>
          <w:spacing w:val="-4"/>
          <w:sz w:val="30"/>
          <w:szCs w:val="30"/>
        </w:rPr>
      </w:pPr>
      <w:r>
        <w:rPr>
          <w:rStyle w:val="19"/>
          <w:rFonts w:hint="eastAsia" w:ascii="宋体" w:hAnsi="宋体" w:eastAsia="宋体" w:cs="宋体"/>
          <w:b w:val="0"/>
          <w:color w:val="auto"/>
          <w:spacing w:val="-4"/>
          <w:sz w:val="30"/>
          <w:szCs w:val="30"/>
        </w:rPr>
        <w:t>其他需要说明的问题</w:t>
      </w:r>
    </w:p>
    <w:p w14:paraId="108255DC">
      <w:pPr>
        <w:numPr>
          <w:ilvl w:val="0"/>
          <w:numId w:val="0"/>
        </w:numPr>
        <w:ind w:firstLine="600" w:firstLineChars="200"/>
        <w:outlineLvl w:val="0"/>
        <w:rPr>
          <w:rStyle w:val="19"/>
          <w:rFonts w:hint="eastAsia" w:ascii="宋体" w:hAnsi="宋体" w:eastAsia="宋体" w:cs="宋体"/>
          <w:b w:val="0"/>
          <w:color w:val="auto"/>
          <w:spacing w:val="-4"/>
          <w:sz w:val="30"/>
          <w:szCs w:val="30"/>
          <w:lang w:eastAsia="zh-CN"/>
        </w:rPr>
      </w:pPr>
      <w:r>
        <w:rPr>
          <w:rFonts w:hint="eastAsia" w:ascii="宋体" w:hAnsi="宋体" w:eastAsia="宋体" w:cs="宋体"/>
          <w:color w:val="auto"/>
          <w:sz w:val="30"/>
          <w:szCs w:val="30"/>
          <w:lang w:val="en-US" w:eastAsia="zh-CN"/>
        </w:rPr>
        <w:t>新疆库拜煤田拜城县煤层气开发利用先导性试验</w:t>
      </w:r>
      <w:r>
        <w:rPr>
          <w:rFonts w:hint="eastAsia" w:ascii="宋体" w:hAnsi="宋体" w:eastAsia="宋体" w:cs="宋体"/>
          <w:bCs/>
          <w:color w:val="auto"/>
          <w:sz w:val="30"/>
          <w:szCs w:val="30"/>
        </w:rPr>
        <w:t>排采煤层气生产井的排采工作以及集气站</w:t>
      </w:r>
      <w:r>
        <w:rPr>
          <w:rFonts w:hint="eastAsia" w:ascii="宋体" w:hAnsi="宋体" w:eastAsia="宋体" w:cs="宋体"/>
          <w:bCs/>
          <w:color w:val="auto"/>
          <w:sz w:val="30"/>
          <w:szCs w:val="30"/>
          <w:lang w:eastAsia="zh-CN"/>
        </w:rPr>
        <w:t>正在</w:t>
      </w:r>
      <w:r>
        <w:rPr>
          <w:rFonts w:hint="eastAsia" w:ascii="宋体" w:hAnsi="宋体" w:eastAsia="宋体" w:cs="宋体"/>
          <w:bCs/>
          <w:color w:val="auto"/>
          <w:sz w:val="30"/>
          <w:szCs w:val="30"/>
        </w:rPr>
        <w:t>建设</w:t>
      </w:r>
      <w:r>
        <w:rPr>
          <w:rFonts w:hint="eastAsia" w:ascii="宋体" w:hAnsi="宋体" w:eastAsia="宋体" w:cs="宋体"/>
          <w:bCs/>
          <w:color w:val="auto"/>
          <w:sz w:val="30"/>
          <w:szCs w:val="30"/>
          <w:lang w:eastAsia="zh-CN"/>
        </w:rPr>
        <w:t>中。</w:t>
      </w:r>
    </w:p>
    <w:sectPr>
      <w:footerReference r:id="rId3" w:type="default"/>
      <w:pgSz w:w="11906" w:h="16838"/>
      <w:pgMar w:top="1440" w:right="1558"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D8A4712">
        <w:pPr>
          <w:pStyle w:val="13"/>
          <w:jc w:val="center"/>
        </w:pPr>
        <w:r>
          <w:fldChar w:fldCharType="begin"/>
        </w:r>
        <w:r>
          <w:instrText xml:space="preserve">PAGE   \* MERGEFORMAT</w:instrText>
        </w:r>
        <w:r>
          <w:fldChar w:fldCharType="separate"/>
        </w:r>
        <w:r>
          <w:rPr>
            <w:lang w:val="zh-CN"/>
          </w:rPr>
          <w:t>6</w:t>
        </w:r>
        <w:r>
          <w:fldChar w:fldCharType="end"/>
        </w:r>
      </w:p>
    </w:sdtContent>
  </w:sdt>
  <w:p w14:paraId="611DEE66">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4C8980"/>
    <w:multiLevelType w:val="singleLevel"/>
    <w:tmpl w:val="9B4C8980"/>
    <w:lvl w:ilvl="0" w:tentative="0">
      <w:start w:val="6"/>
      <w:numFmt w:val="decimal"/>
      <w:suff w:val="nothing"/>
      <w:lvlText w:val="%1）"/>
      <w:lvlJc w:val="left"/>
    </w:lvl>
  </w:abstractNum>
  <w:abstractNum w:abstractNumId="1">
    <w:nsid w:val="A316B8C2"/>
    <w:multiLevelType w:val="singleLevel"/>
    <w:tmpl w:val="A316B8C2"/>
    <w:lvl w:ilvl="0" w:tentative="0">
      <w:start w:val="2"/>
      <w:numFmt w:val="decimal"/>
      <w:suff w:val="nothing"/>
      <w:lvlText w:val="%1、"/>
      <w:lvlJc w:val="left"/>
    </w:lvl>
  </w:abstractNum>
  <w:abstractNum w:abstractNumId="2">
    <w:nsid w:val="B44DDA55"/>
    <w:multiLevelType w:val="singleLevel"/>
    <w:tmpl w:val="B44DDA55"/>
    <w:lvl w:ilvl="0" w:tentative="0">
      <w:start w:val="2"/>
      <w:numFmt w:val="decimal"/>
      <w:suff w:val="nothing"/>
      <w:lvlText w:val="（%1）"/>
      <w:lvlJc w:val="left"/>
    </w:lvl>
  </w:abstractNum>
  <w:abstractNum w:abstractNumId="3">
    <w:nsid w:val="CB48C26D"/>
    <w:multiLevelType w:val="singleLevel"/>
    <w:tmpl w:val="CB48C26D"/>
    <w:lvl w:ilvl="0" w:tentative="0">
      <w:start w:val="1"/>
      <w:numFmt w:val="decimal"/>
      <w:suff w:val="nothing"/>
      <w:lvlText w:val="%1、"/>
      <w:lvlJc w:val="left"/>
    </w:lvl>
  </w:abstractNum>
  <w:abstractNum w:abstractNumId="4">
    <w:nsid w:val="ED3BDCE1"/>
    <w:multiLevelType w:val="singleLevel"/>
    <w:tmpl w:val="ED3BDCE1"/>
    <w:lvl w:ilvl="0" w:tentative="0">
      <w:start w:val="1"/>
      <w:numFmt w:val="decimal"/>
      <w:suff w:val="nothing"/>
      <w:lvlText w:val="%1、"/>
      <w:lvlJc w:val="left"/>
    </w:lvl>
  </w:abstractNum>
  <w:abstractNum w:abstractNumId="5">
    <w:nsid w:val="F140B73D"/>
    <w:multiLevelType w:val="singleLevel"/>
    <w:tmpl w:val="F140B73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086728"/>
    <w:rsid w:val="000C347D"/>
    <w:rsid w:val="00121AE4"/>
    <w:rsid w:val="00146AAD"/>
    <w:rsid w:val="001B3A40"/>
    <w:rsid w:val="001F76FD"/>
    <w:rsid w:val="002807D8"/>
    <w:rsid w:val="002859E3"/>
    <w:rsid w:val="002F1F0D"/>
    <w:rsid w:val="00340A90"/>
    <w:rsid w:val="003926D1"/>
    <w:rsid w:val="004366A8"/>
    <w:rsid w:val="004F1CB9"/>
    <w:rsid w:val="00502BA7"/>
    <w:rsid w:val="005162F1"/>
    <w:rsid w:val="00535153"/>
    <w:rsid w:val="00554F82"/>
    <w:rsid w:val="0056390D"/>
    <w:rsid w:val="005719B0"/>
    <w:rsid w:val="005D10D6"/>
    <w:rsid w:val="00682523"/>
    <w:rsid w:val="006F25A5"/>
    <w:rsid w:val="00855E3A"/>
    <w:rsid w:val="008610BE"/>
    <w:rsid w:val="00922CB9"/>
    <w:rsid w:val="0094535D"/>
    <w:rsid w:val="009E5CD9"/>
    <w:rsid w:val="00A26421"/>
    <w:rsid w:val="00A4293B"/>
    <w:rsid w:val="00A67D50"/>
    <w:rsid w:val="00A8691A"/>
    <w:rsid w:val="00AA7726"/>
    <w:rsid w:val="00AC1946"/>
    <w:rsid w:val="00AD1FBF"/>
    <w:rsid w:val="00B40063"/>
    <w:rsid w:val="00B41F61"/>
    <w:rsid w:val="00BA46E6"/>
    <w:rsid w:val="00BD23BB"/>
    <w:rsid w:val="00C56C72"/>
    <w:rsid w:val="00CA6457"/>
    <w:rsid w:val="00D17F2E"/>
    <w:rsid w:val="00D30354"/>
    <w:rsid w:val="00DF42A0"/>
    <w:rsid w:val="00DF62D7"/>
    <w:rsid w:val="00E05E42"/>
    <w:rsid w:val="00E769FE"/>
    <w:rsid w:val="00EA2CBE"/>
    <w:rsid w:val="00EE4670"/>
    <w:rsid w:val="00F32FEE"/>
    <w:rsid w:val="00F51AE7"/>
    <w:rsid w:val="00FB10BB"/>
    <w:rsid w:val="00FC50E0"/>
    <w:rsid w:val="02537924"/>
    <w:rsid w:val="1BA31552"/>
    <w:rsid w:val="296559C0"/>
    <w:rsid w:val="2B5E6074"/>
    <w:rsid w:val="3EB6010C"/>
    <w:rsid w:val="500C3DCD"/>
    <w:rsid w:val="55476BA9"/>
    <w:rsid w:val="5AB806D7"/>
    <w:rsid w:val="75D21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7"/>
    <w:semiHidden/>
    <w:unhideWhenUsed/>
    <w:qFormat/>
    <w:uiPriority w:val="99"/>
    <w:rPr>
      <w:rFonts w:ascii="宋体"/>
      <w:sz w:val="18"/>
      <w:szCs w:val="18"/>
    </w:rPr>
  </w:style>
  <w:style w:type="paragraph" w:styleId="12">
    <w:name w:val="Balloon Text"/>
    <w:basedOn w:val="1"/>
    <w:link w:val="46"/>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22"/>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批注框文本 Char"/>
    <w:basedOn w:val="18"/>
    <w:link w:val="12"/>
    <w:semiHidden/>
    <w:qFormat/>
    <w:uiPriority w:val="99"/>
    <w:rPr>
      <w:rFonts w:ascii="Times New Roman" w:hAnsi="Times New Roman" w:eastAsia="宋体"/>
      <w:kern w:val="2"/>
      <w:sz w:val="18"/>
      <w:szCs w:val="18"/>
    </w:rPr>
  </w:style>
  <w:style w:type="character" w:customStyle="1" w:styleId="47">
    <w:name w:val="文档结构图 Char"/>
    <w:basedOn w:val="18"/>
    <w:link w:val="11"/>
    <w:semiHidden/>
    <w:qFormat/>
    <w:uiPriority w:val="99"/>
    <w:rPr>
      <w:rFonts w:ascii="宋体" w:hAnsi="Times New Roman" w:eastAsia="宋体"/>
      <w:kern w:val="2"/>
      <w:sz w:val="18"/>
      <w:szCs w:val="18"/>
    </w:rPr>
  </w:style>
  <w:style w:type="paragraph" w:customStyle="1" w:styleId="48">
    <w:name w:val="0991"/>
    <w:basedOn w:val="1"/>
    <w:link w:val="49"/>
    <w:qFormat/>
    <w:uiPriority w:val="0"/>
    <w:pPr>
      <w:spacing w:line="360" w:lineRule="auto"/>
      <w:ind w:firstLine="200" w:firstLineChars="200"/>
    </w:pPr>
    <w:rPr>
      <w:rFonts w:ascii="宋体" w:eastAsia="仿宋_GB2312"/>
      <w:sz w:val="28"/>
      <w:szCs w:val="28"/>
    </w:rPr>
  </w:style>
  <w:style w:type="character" w:customStyle="1" w:styleId="49">
    <w:name w:val="0991 Char Char"/>
    <w:link w:val="48"/>
    <w:qFormat/>
    <w:uiPriority w:val="0"/>
    <w:rPr>
      <w:rFonts w:ascii="宋体" w:hAnsi="Times New Roman" w:eastAsia="仿宋_GB2312"/>
      <w:kern w:val="2"/>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19</Pages>
  <Words>8358</Words>
  <Characters>8939</Characters>
  <Lines>19</Lines>
  <Paragraphs>5</Paragraphs>
  <TotalTime>2</TotalTime>
  <ScaleCrop>false</ScaleCrop>
  <LinksUpToDate>false</LinksUpToDate>
  <CharactersWithSpaces>9358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星之痕</cp:lastModifiedBy>
  <cp:lastPrinted>2020-05-27T03:33:00Z</cp:lastPrinted>
  <dcterms:modified xsi:type="dcterms:W3CDTF">2025-02-08T03:55:33Z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eyJoZGlkIjoiMmRiOTUxMzk2YjM2MzgwNGY2YjUyMDgyYzk4MWM5YTgiLCJ1c2VySWQiOiIyMDgxMjExMDEifQ==</vt:lpwstr>
  </property>
  <property fmtid="{D5CDD505-2E9C-101B-9397-08002B2CF9AE}" pid="4" name="ICV">
    <vt:lpwstr>9B4F79FCA85D48F2ABF0933457512695_12</vt:lpwstr>
  </property>
</Properties>
</file>