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A3E04">
      <w:pPr>
        <w:spacing w:line="540" w:lineRule="exact"/>
        <w:jc w:val="center"/>
        <w:rPr>
          <w:rFonts w:ascii="华文中宋" w:hAnsi="华文中宋" w:eastAsia="华文中宋" w:cs="宋体"/>
          <w:b/>
          <w:kern w:val="0"/>
          <w:sz w:val="52"/>
          <w:szCs w:val="52"/>
        </w:rPr>
      </w:pPr>
    </w:p>
    <w:p w14:paraId="32324C15">
      <w:pPr>
        <w:spacing w:line="540" w:lineRule="exact"/>
        <w:jc w:val="center"/>
        <w:rPr>
          <w:rFonts w:ascii="华文中宋" w:hAnsi="华文中宋" w:eastAsia="华文中宋" w:cs="宋体"/>
          <w:b/>
          <w:kern w:val="0"/>
          <w:sz w:val="52"/>
          <w:szCs w:val="52"/>
        </w:rPr>
      </w:pPr>
    </w:p>
    <w:p w14:paraId="5322610D">
      <w:pPr>
        <w:spacing w:line="540" w:lineRule="exact"/>
        <w:jc w:val="center"/>
        <w:rPr>
          <w:rFonts w:ascii="华文中宋" w:hAnsi="华文中宋" w:eastAsia="华文中宋" w:cs="宋体"/>
          <w:b/>
          <w:kern w:val="0"/>
          <w:sz w:val="52"/>
          <w:szCs w:val="52"/>
        </w:rPr>
      </w:pPr>
    </w:p>
    <w:p w14:paraId="39F29C8A">
      <w:pPr>
        <w:spacing w:line="540" w:lineRule="exact"/>
        <w:jc w:val="center"/>
        <w:rPr>
          <w:rFonts w:ascii="华文中宋" w:hAnsi="华文中宋" w:eastAsia="华文中宋" w:cs="宋体"/>
          <w:b/>
          <w:kern w:val="0"/>
          <w:sz w:val="52"/>
          <w:szCs w:val="52"/>
        </w:rPr>
      </w:pPr>
    </w:p>
    <w:p w14:paraId="22944D17">
      <w:pPr>
        <w:spacing w:line="540" w:lineRule="exact"/>
        <w:jc w:val="center"/>
        <w:rPr>
          <w:rFonts w:ascii="华文中宋" w:hAnsi="华文中宋" w:eastAsia="华文中宋" w:cs="宋体"/>
          <w:b/>
          <w:kern w:val="0"/>
          <w:sz w:val="52"/>
          <w:szCs w:val="52"/>
        </w:rPr>
      </w:pPr>
    </w:p>
    <w:p w14:paraId="582DFAD7">
      <w:pPr>
        <w:spacing w:line="540" w:lineRule="exact"/>
        <w:jc w:val="center"/>
        <w:rPr>
          <w:rFonts w:ascii="华文中宋" w:hAnsi="华文中宋" w:eastAsia="华文中宋" w:cs="宋体"/>
          <w:b/>
          <w:kern w:val="0"/>
          <w:sz w:val="52"/>
          <w:szCs w:val="52"/>
        </w:rPr>
      </w:pPr>
    </w:p>
    <w:p w14:paraId="369C8F6B">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自治区财政项目支出绩效自评报告</w:t>
      </w:r>
    </w:p>
    <w:p w14:paraId="24C00B12">
      <w:pPr>
        <w:spacing w:line="540" w:lineRule="exact"/>
        <w:jc w:val="center"/>
        <w:rPr>
          <w:rFonts w:ascii="华文中宋" w:hAnsi="华文中宋" w:eastAsia="华文中宋" w:cs="宋体"/>
          <w:b/>
          <w:kern w:val="0"/>
          <w:sz w:val="52"/>
          <w:szCs w:val="52"/>
        </w:rPr>
      </w:pPr>
    </w:p>
    <w:p w14:paraId="3C4A6B0F">
      <w:pPr>
        <w:spacing w:line="540" w:lineRule="exact"/>
        <w:jc w:val="center"/>
        <w:rPr>
          <w:rFonts w:ascii="Calibri" w:hAnsi="宋体" w:cs="宋体"/>
          <w:kern w:val="0"/>
          <w:sz w:val="36"/>
          <w:szCs w:val="36"/>
        </w:rPr>
      </w:pPr>
      <w:r>
        <w:rPr>
          <w:rFonts w:hint="eastAsia" w:ascii="Calibri" w:hAnsi="宋体" w:cs="宋体"/>
          <w:kern w:val="0"/>
          <w:sz w:val="36"/>
          <w:szCs w:val="36"/>
        </w:rPr>
        <w:t>（</w:t>
      </w:r>
      <w:r>
        <w:rPr>
          <w:rFonts w:hint="eastAsia" w:ascii="仿宋_GB2312" w:hAnsi="Bernard MT Condensed" w:cs="宋体"/>
          <w:kern w:val="0"/>
          <w:sz w:val="36"/>
          <w:szCs w:val="36"/>
        </w:rPr>
        <w:t>2019</w:t>
      </w:r>
      <w:r>
        <w:rPr>
          <w:rFonts w:hint="eastAsia" w:ascii="Calibri" w:hAnsi="宋体" w:cs="宋体"/>
          <w:kern w:val="0"/>
          <w:sz w:val="36"/>
          <w:szCs w:val="36"/>
        </w:rPr>
        <w:t>年度）</w:t>
      </w:r>
    </w:p>
    <w:p w14:paraId="26A20969">
      <w:pPr>
        <w:spacing w:line="540" w:lineRule="exact"/>
        <w:jc w:val="center"/>
        <w:rPr>
          <w:rFonts w:ascii="Calibri" w:hAnsi="宋体" w:cs="宋体"/>
          <w:kern w:val="0"/>
          <w:szCs w:val="30"/>
        </w:rPr>
      </w:pPr>
    </w:p>
    <w:p w14:paraId="33AAE2C2">
      <w:pPr>
        <w:spacing w:line="540" w:lineRule="exact"/>
        <w:jc w:val="center"/>
        <w:rPr>
          <w:rFonts w:ascii="Calibri" w:hAnsi="宋体" w:cs="宋体"/>
          <w:kern w:val="0"/>
          <w:szCs w:val="30"/>
        </w:rPr>
      </w:pPr>
    </w:p>
    <w:p w14:paraId="4B636D68">
      <w:pPr>
        <w:spacing w:line="540" w:lineRule="exact"/>
        <w:jc w:val="center"/>
        <w:rPr>
          <w:rFonts w:ascii="Calibri" w:hAnsi="宋体" w:cs="宋体"/>
          <w:kern w:val="0"/>
          <w:szCs w:val="30"/>
        </w:rPr>
      </w:pPr>
    </w:p>
    <w:p w14:paraId="44F5D37D">
      <w:pPr>
        <w:spacing w:line="540" w:lineRule="exact"/>
        <w:jc w:val="center"/>
        <w:rPr>
          <w:rFonts w:ascii="Calibri" w:hAnsi="宋体" w:cs="宋体"/>
          <w:kern w:val="0"/>
          <w:szCs w:val="30"/>
        </w:rPr>
      </w:pPr>
    </w:p>
    <w:p w14:paraId="34621D3A">
      <w:pPr>
        <w:spacing w:line="540" w:lineRule="exact"/>
        <w:jc w:val="center"/>
        <w:rPr>
          <w:rFonts w:ascii="Calibri" w:hAnsi="宋体" w:cs="宋体"/>
          <w:kern w:val="0"/>
          <w:szCs w:val="30"/>
        </w:rPr>
      </w:pPr>
    </w:p>
    <w:p w14:paraId="1DF5DFAD">
      <w:pPr>
        <w:spacing w:line="540" w:lineRule="exact"/>
        <w:jc w:val="center"/>
        <w:rPr>
          <w:rFonts w:ascii="Calibri" w:hAnsi="宋体" w:cs="宋体"/>
          <w:kern w:val="0"/>
          <w:szCs w:val="30"/>
        </w:rPr>
      </w:pPr>
    </w:p>
    <w:p w14:paraId="7B024A03">
      <w:pPr>
        <w:spacing w:line="540" w:lineRule="exact"/>
        <w:jc w:val="center"/>
        <w:rPr>
          <w:rFonts w:ascii="Calibri" w:hAnsi="宋体" w:cs="宋体"/>
          <w:kern w:val="0"/>
          <w:szCs w:val="30"/>
        </w:rPr>
      </w:pPr>
    </w:p>
    <w:p w14:paraId="4CDB2276">
      <w:pPr>
        <w:spacing w:line="540" w:lineRule="exact"/>
        <w:rPr>
          <w:rFonts w:ascii="Calibri" w:hAnsi="宋体" w:cs="宋体"/>
          <w:kern w:val="0"/>
          <w:szCs w:val="30"/>
        </w:rPr>
      </w:pPr>
    </w:p>
    <w:p w14:paraId="77BF90DD">
      <w:pPr>
        <w:spacing w:line="700" w:lineRule="exact"/>
        <w:ind w:left="2700" w:hanging="2700" w:hangingChars="750"/>
        <w:jc w:val="left"/>
        <w:rPr>
          <w:rFonts w:ascii="Calibri" w:hAnsi="宋体" w:cs="宋体"/>
          <w:kern w:val="0"/>
          <w:sz w:val="32"/>
          <w:szCs w:val="32"/>
        </w:rPr>
      </w:pPr>
      <w:r>
        <w:rPr>
          <w:rFonts w:hint="eastAsia" w:ascii="Calibri" w:hAnsi="宋体" w:cs="宋体"/>
          <w:kern w:val="0"/>
          <w:sz w:val="36"/>
          <w:szCs w:val="36"/>
        </w:rPr>
        <w:t xml:space="preserve">     </w:t>
      </w:r>
      <w:r>
        <w:rPr>
          <w:rFonts w:hint="eastAsia" w:ascii="Calibri" w:hAnsi="宋体" w:cs="宋体"/>
          <w:kern w:val="0"/>
          <w:sz w:val="32"/>
          <w:szCs w:val="32"/>
        </w:rPr>
        <w:t>项目名称：新疆皮山县玉立群-比纳木一带煤炭资源预查</w:t>
      </w:r>
    </w:p>
    <w:p w14:paraId="19A5C0C9">
      <w:pPr>
        <w:spacing w:line="700" w:lineRule="exact"/>
        <w:jc w:val="left"/>
        <w:rPr>
          <w:rFonts w:ascii="Calibri" w:hAnsi="宋体" w:cs="宋体"/>
          <w:kern w:val="0"/>
          <w:sz w:val="32"/>
          <w:szCs w:val="32"/>
        </w:rPr>
      </w:pPr>
      <w:r>
        <w:rPr>
          <w:rFonts w:hint="eastAsia" w:ascii="Calibri" w:hAnsi="宋体" w:cs="宋体"/>
          <w:kern w:val="0"/>
          <w:sz w:val="32"/>
          <w:szCs w:val="32"/>
        </w:rPr>
        <w:t xml:space="preserve">     实施单位（公章）：</w:t>
      </w:r>
      <w:bookmarkStart w:id="0" w:name="_Hlk37515315"/>
      <w:r>
        <w:rPr>
          <w:rFonts w:hint="eastAsia" w:ascii="Calibri" w:hAnsi="宋体" w:cs="宋体"/>
          <w:kern w:val="0"/>
          <w:sz w:val="32"/>
          <w:szCs w:val="32"/>
        </w:rPr>
        <w:t>新疆煤田地质局综合地质勘查队</w:t>
      </w:r>
      <w:bookmarkEnd w:id="0"/>
    </w:p>
    <w:p w14:paraId="74559821">
      <w:pPr>
        <w:spacing w:line="700" w:lineRule="exact"/>
        <w:ind w:firstLine="755" w:firstLineChars="236"/>
        <w:jc w:val="left"/>
        <w:rPr>
          <w:rFonts w:ascii="Calibri" w:hAnsi="宋体" w:cs="宋体"/>
          <w:kern w:val="0"/>
          <w:sz w:val="32"/>
          <w:szCs w:val="32"/>
        </w:rPr>
      </w:pPr>
      <w:r>
        <w:rPr>
          <w:rFonts w:hint="eastAsia" w:ascii="Calibri" w:hAnsi="宋体" w:cs="宋体"/>
          <w:kern w:val="0"/>
          <w:sz w:val="32"/>
          <w:szCs w:val="32"/>
        </w:rPr>
        <w:t>主管部门（公章）：</w:t>
      </w:r>
      <w:r>
        <w:rPr>
          <w:rFonts w:hint="eastAsia" w:hAnsi="宋体" w:cs="宋体"/>
          <w:kern w:val="0"/>
          <w:sz w:val="32"/>
          <w:szCs w:val="32"/>
        </w:rPr>
        <w:t>自治区地质勘查基金项目管理中心</w:t>
      </w:r>
    </w:p>
    <w:p w14:paraId="4279107B">
      <w:pPr>
        <w:spacing w:line="700" w:lineRule="exact"/>
        <w:ind w:firstLine="755" w:firstLineChars="236"/>
        <w:jc w:val="left"/>
        <w:rPr>
          <w:rFonts w:ascii="Calibri" w:hAnsi="宋体" w:cs="宋体"/>
          <w:kern w:val="0"/>
          <w:sz w:val="32"/>
          <w:szCs w:val="32"/>
        </w:rPr>
      </w:pPr>
      <w:r>
        <w:rPr>
          <w:rFonts w:hint="eastAsia" w:ascii="Calibri" w:hAnsi="宋体" w:cs="宋体"/>
          <w:kern w:val="0"/>
          <w:sz w:val="32"/>
          <w:szCs w:val="32"/>
        </w:rPr>
        <w:t>项目负责人（签章）：杨海峰</w:t>
      </w:r>
    </w:p>
    <w:p w14:paraId="248F7571">
      <w:pPr>
        <w:spacing w:line="700" w:lineRule="exact"/>
        <w:ind w:firstLine="755" w:firstLineChars="236"/>
        <w:jc w:val="left"/>
        <w:rPr>
          <w:rFonts w:ascii="仿宋_GB2312" w:hAnsi="宋体" w:cs="宋体"/>
          <w:kern w:val="0"/>
          <w:sz w:val="32"/>
          <w:szCs w:val="32"/>
        </w:rPr>
      </w:pPr>
      <w:r>
        <w:rPr>
          <w:rFonts w:hint="eastAsia" w:ascii="仿宋_GB2312" w:hAnsi="宋体" w:cs="宋体"/>
          <w:kern w:val="0"/>
          <w:sz w:val="32"/>
          <w:szCs w:val="32"/>
        </w:rPr>
        <w:t>填报时间：2020年 04月10日</w:t>
      </w:r>
    </w:p>
    <w:p w14:paraId="664C29D3">
      <w:pPr>
        <w:spacing w:line="540" w:lineRule="exact"/>
        <w:ind w:firstLine="640"/>
        <w:rPr>
          <w:rStyle w:val="8"/>
          <w:rFonts w:ascii="仿宋_GB2312" w:hAnsi="黑体"/>
          <w:spacing w:val="-4"/>
          <w:sz w:val="28"/>
          <w:szCs w:val="28"/>
        </w:rPr>
      </w:pPr>
    </w:p>
    <w:p w14:paraId="0DCEA6EC">
      <w:pPr>
        <w:widowControl/>
        <w:jc w:val="left"/>
        <w:rPr>
          <w:rStyle w:val="8"/>
          <w:rFonts w:ascii="仿宋_GB2312" w:hAnsi="黑体"/>
          <w:spacing w:val="-4"/>
          <w:sz w:val="28"/>
          <w:szCs w:val="28"/>
        </w:rPr>
      </w:pPr>
      <w:r>
        <w:rPr>
          <w:rStyle w:val="8"/>
          <w:rFonts w:ascii="仿宋_GB2312" w:hAnsi="黑体"/>
          <w:spacing w:val="-4"/>
          <w:sz w:val="28"/>
          <w:szCs w:val="28"/>
        </w:rPr>
        <w:br w:type="page"/>
      </w:r>
    </w:p>
    <w:p w14:paraId="4A7E8B52">
      <w:pPr>
        <w:spacing w:line="540" w:lineRule="exact"/>
        <w:ind w:firstLine="640"/>
        <w:rPr>
          <w:rStyle w:val="8"/>
          <w:rFonts w:ascii="仿宋_GB2312" w:hAnsi="黑体"/>
          <w:spacing w:val="-4"/>
          <w:sz w:val="28"/>
          <w:szCs w:val="28"/>
        </w:rPr>
      </w:pPr>
      <w:r>
        <w:rPr>
          <w:rStyle w:val="8"/>
          <w:rFonts w:hint="eastAsia" w:ascii="仿宋_GB2312" w:hAnsi="黑体"/>
          <w:spacing w:val="-4"/>
          <w:sz w:val="28"/>
          <w:szCs w:val="28"/>
        </w:rPr>
        <w:t>一、基本情况</w:t>
      </w:r>
    </w:p>
    <w:p w14:paraId="2C117A5C">
      <w:pPr>
        <w:spacing w:line="540" w:lineRule="exact"/>
        <w:ind w:firstLine="640"/>
        <w:rPr>
          <w:rStyle w:val="8"/>
          <w:rFonts w:ascii="仿宋_GB2312" w:hAnsi="黑体"/>
          <w:spacing w:val="-4"/>
          <w:sz w:val="28"/>
          <w:szCs w:val="28"/>
        </w:rPr>
      </w:pPr>
      <w:r>
        <w:rPr>
          <w:rStyle w:val="8"/>
          <w:rFonts w:hint="eastAsia" w:ascii="仿宋_GB2312" w:hAnsi="黑体"/>
          <w:spacing w:val="-4"/>
          <w:sz w:val="28"/>
          <w:szCs w:val="28"/>
        </w:rPr>
        <w:t>（一）项目概况</w:t>
      </w:r>
    </w:p>
    <w:p w14:paraId="268BA1C3">
      <w:pPr>
        <w:spacing w:line="540" w:lineRule="exact"/>
        <w:ind w:firstLine="640"/>
        <w:rPr>
          <w:rStyle w:val="8"/>
          <w:rFonts w:ascii="仿宋_GB2312" w:hAnsi="楷体"/>
          <w:spacing w:val="-4"/>
          <w:sz w:val="28"/>
          <w:szCs w:val="28"/>
        </w:rPr>
      </w:pPr>
      <w:r>
        <w:rPr>
          <w:rStyle w:val="8"/>
          <w:rFonts w:hint="eastAsia" w:ascii="仿宋_GB2312" w:hAnsi="楷体"/>
          <w:spacing w:val="-4"/>
          <w:sz w:val="28"/>
          <w:szCs w:val="28"/>
        </w:rPr>
        <w:t>1.项目背景</w:t>
      </w:r>
    </w:p>
    <w:p w14:paraId="366FEA9B">
      <w:pPr>
        <w:spacing w:line="540" w:lineRule="exact"/>
        <w:ind w:firstLine="560" w:firstLineChars="200"/>
        <w:rPr>
          <w:rFonts w:ascii="仿宋_GB2312" w:hAnsi="仿宋"/>
          <w:b/>
          <w:sz w:val="28"/>
          <w:szCs w:val="28"/>
        </w:rPr>
      </w:pPr>
      <w:r>
        <w:rPr>
          <w:rFonts w:hint="eastAsia" w:ascii="仿宋_GB2312" w:hAnsi="仿宋"/>
          <w:bCs/>
          <w:sz w:val="28"/>
          <w:szCs w:val="28"/>
        </w:rPr>
        <w:t>“新疆皮山县玉立群-比纳木一带煤炭资源预查”（项目编号</w:t>
      </w:r>
      <w:r>
        <w:rPr>
          <w:rFonts w:ascii="仿宋_GB2312" w:hAnsi="仿宋"/>
          <w:bCs/>
          <w:sz w:val="28"/>
          <w:szCs w:val="28"/>
        </w:rPr>
        <w:t>N19-3-XJ001</w:t>
      </w:r>
      <w:r>
        <w:rPr>
          <w:rFonts w:hint="eastAsia" w:ascii="仿宋_GB2312" w:hAnsi="仿宋"/>
          <w:bCs/>
          <w:sz w:val="28"/>
          <w:szCs w:val="28"/>
        </w:rPr>
        <w:t>）是自治区财政出资，自然资源厅组织的2019年公开招标项目，我单位新疆煤田地质局综合地质勘查队中标该项目，批准项目资金600万元，项目周期2019年5月～2020年4月，由于疫情影响项目延续至2020年8月。</w:t>
      </w:r>
    </w:p>
    <w:p w14:paraId="79146483">
      <w:pPr>
        <w:spacing w:line="540" w:lineRule="exact"/>
        <w:ind w:firstLine="560" w:firstLineChars="200"/>
        <w:rPr>
          <w:rFonts w:ascii="仿宋_GB2312" w:hAnsi="仿宋"/>
          <w:bCs/>
          <w:sz w:val="28"/>
          <w:szCs w:val="28"/>
        </w:rPr>
      </w:pPr>
      <w:bookmarkStart w:id="1" w:name="_Hlk37515573"/>
      <w:r>
        <w:rPr>
          <w:rFonts w:hint="eastAsia" w:ascii="仿宋_GB2312" w:hAnsi="仿宋"/>
          <w:bCs/>
          <w:sz w:val="28"/>
          <w:szCs w:val="28"/>
        </w:rPr>
        <w:t>新疆维吾尔自治区煤田地质局综合地质勘查队</w:t>
      </w:r>
      <w:bookmarkEnd w:id="1"/>
      <w:r>
        <w:rPr>
          <w:rFonts w:hint="eastAsia" w:ascii="仿宋_GB2312" w:hAnsi="仿宋"/>
          <w:bCs/>
          <w:sz w:val="28"/>
          <w:szCs w:val="28"/>
        </w:rPr>
        <w:t>成立于1978年12月，是一家专门从事煤田地质勘探的国有县处级事业单位，单位总部位于新疆维吾尔自治区首府乌鲁木齐市。隶属于新疆维吾尔自治区煤田地质局，下辖普查分队、物探分队、测量分队、工程勘查分队、数字化室等8个生产部门、7个职能科室，以及一个多经实体——新疆天山预混合饲料厂。主要从事煤炭、煤层气地质勘查、地球物理、地球化学，二、三维地震、管线探测、采空区探测、煤田灭火、地球物理测井；矿产、水文、工程、环境等地质勘查、水资源勘查、供水井凿井工程施工，区域矿产地质调查、储量核查、环境评价与灾害防治工程勘查及矿山调查等工作。工程测量、控制测量、地形测量、规划测量、建筑工程测量、市政工程测量、线路与桥梁工程测量、矿山测量、航空摄影测量与遥感、城市地下管线勘测，城乡规划定线、不动产测量、地籍测绘等工作。是一支资质全面、手段丰富、技术先进、门类齐全，勘探手段完善，技术力量雄厚的综合地质勘查队伍。</w:t>
      </w:r>
    </w:p>
    <w:p w14:paraId="1492F7F2">
      <w:pPr>
        <w:spacing w:line="540" w:lineRule="exact"/>
        <w:ind w:firstLine="562" w:firstLineChars="200"/>
        <w:rPr>
          <w:rFonts w:ascii="仿宋_GB2312" w:hAnsi="仿宋"/>
          <w:b/>
          <w:bCs/>
          <w:sz w:val="28"/>
          <w:szCs w:val="28"/>
        </w:rPr>
      </w:pPr>
      <w:r>
        <w:rPr>
          <w:rFonts w:hint="eastAsia" w:ascii="仿宋_GB2312" w:hAnsi="仿宋"/>
          <w:b/>
          <w:bCs/>
          <w:sz w:val="28"/>
          <w:szCs w:val="28"/>
        </w:rPr>
        <w:t>2.项目设计主要工作量</w:t>
      </w:r>
    </w:p>
    <w:p w14:paraId="7359D911">
      <w:pPr>
        <w:ind w:firstLine="560"/>
        <w:rPr>
          <w:rFonts w:ascii="仿宋_GB2312" w:hAnsi="仿宋"/>
          <w:bCs/>
          <w:color w:val="000000"/>
          <w:szCs w:val="28"/>
        </w:rPr>
      </w:pPr>
      <w:r>
        <w:rPr>
          <w:rFonts w:hint="eastAsia" w:ascii="仿宋_GB2312" w:hAnsi="仿宋"/>
          <w:bCs/>
          <w:sz w:val="28"/>
          <w:szCs w:val="28"/>
        </w:rPr>
        <w:t>设计批准工作量：</w:t>
      </w:r>
      <w:r>
        <w:rPr>
          <w:rFonts w:hint="eastAsia" w:ascii="仿宋_GB2312" w:hAnsi="仿宋"/>
          <w:bCs/>
          <w:color w:val="000000"/>
          <w:sz w:val="28"/>
          <w:szCs w:val="28"/>
        </w:rPr>
        <w:t>1∶25000地质草测140平方千米；工程钻探210米；槽探500立方米；机械岩芯钻探3200米；地球物理测井3000米。</w:t>
      </w:r>
    </w:p>
    <w:p w14:paraId="57632059">
      <w:pPr>
        <w:ind w:firstLine="560"/>
        <w:rPr>
          <w:rFonts w:ascii="仿宋_GB2312" w:hAnsi="仿宋"/>
          <w:b/>
          <w:bCs/>
          <w:sz w:val="28"/>
          <w:szCs w:val="28"/>
        </w:rPr>
      </w:pPr>
      <w:r>
        <w:rPr>
          <w:rFonts w:hint="eastAsia" w:ascii="仿宋_GB2312" w:hAnsi="仿宋"/>
          <w:b/>
          <w:bCs/>
          <w:sz w:val="28"/>
          <w:szCs w:val="28"/>
        </w:rPr>
        <w:t>3.项目实施情况</w:t>
      </w:r>
    </w:p>
    <w:p w14:paraId="7BEFABC7">
      <w:pPr>
        <w:spacing w:line="540" w:lineRule="exact"/>
        <w:ind w:firstLine="664" w:firstLineChars="243"/>
        <w:rPr>
          <w:rStyle w:val="8"/>
          <w:rFonts w:ascii="仿宋_GB2312" w:hAnsi="楷体"/>
          <w:spacing w:val="-4"/>
          <w:sz w:val="28"/>
          <w:szCs w:val="28"/>
        </w:rPr>
      </w:pPr>
      <w:r>
        <w:rPr>
          <w:rStyle w:val="8"/>
          <w:rFonts w:hint="eastAsia" w:ascii="仿宋_GB2312" w:hAnsi="楷体"/>
          <w:spacing w:val="-4"/>
          <w:sz w:val="28"/>
          <w:szCs w:val="28"/>
        </w:rPr>
        <w:t>（1）项目组织情况分析</w:t>
      </w:r>
    </w:p>
    <w:p w14:paraId="338F3116">
      <w:pPr>
        <w:pStyle w:val="3"/>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该项目由自治区地质勘查基金项目管理中心组织公开招标，新疆维吾尔自治区煤田地质局综合地质勘查队中标，并于2019年5月9日新疆维吾尔自治区自然资源厅正式下发了《关于下达2019年新疆地质勘查基金项目任务书的通知》新自然资办函［2019］225号，我单位编制了《新疆皮山县玉立群-比纳木一带煤炭资源预查设计》，自治区地质勘查基金项目管理中心对设计进行审核，按照审核意见修改设计，作为野外工作的依据。并严格按照设计书开展了野外施工工作。</w:t>
      </w:r>
    </w:p>
    <w:p w14:paraId="66B70D65">
      <w:pPr>
        <w:pStyle w:val="3"/>
        <w:spacing w:line="500" w:lineRule="exact"/>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①项目备案：</w:t>
      </w:r>
      <w:r>
        <w:rPr>
          <w:rFonts w:hint="eastAsia" w:ascii="仿宋_GB2312" w:hAnsi="仿宋" w:eastAsia="仿宋_GB2312"/>
          <w:bCs/>
          <w:kern w:val="24"/>
          <w:sz w:val="28"/>
          <w:szCs w:val="28"/>
        </w:rPr>
        <w:t>2019年5月15日—2019年</w:t>
      </w:r>
      <w:r>
        <w:rPr>
          <w:rFonts w:ascii="仿宋_GB2312" w:hAnsi="仿宋" w:eastAsia="仿宋_GB2312"/>
          <w:bCs/>
          <w:kern w:val="24"/>
          <w:sz w:val="28"/>
          <w:szCs w:val="28"/>
        </w:rPr>
        <w:t>5</w:t>
      </w:r>
      <w:r>
        <w:rPr>
          <w:rFonts w:hint="eastAsia" w:ascii="仿宋_GB2312" w:hAnsi="仿宋" w:eastAsia="仿宋_GB2312"/>
          <w:bCs/>
          <w:kern w:val="24"/>
          <w:sz w:val="28"/>
          <w:szCs w:val="28"/>
        </w:rPr>
        <w:t>月</w:t>
      </w:r>
      <w:r>
        <w:rPr>
          <w:rFonts w:ascii="仿宋_GB2312" w:hAnsi="仿宋" w:eastAsia="仿宋_GB2312"/>
          <w:bCs/>
          <w:kern w:val="24"/>
          <w:sz w:val="28"/>
          <w:szCs w:val="28"/>
        </w:rPr>
        <w:t>20</w:t>
      </w:r>
      <w:r>
        <w:rPr>
          <w:rFonts w:hint="eastAsia" w:ascii="仿宋_GB2312" w:hAnsi="仿宋" w:eastAsia="仿宋_GB2312"/>
          <w:bCs/>
          <w:kern w:val="24"/>
          <w:sz w:val="28"/>
          <w:szCs w:val="28"/>
        </w:rPr>
        <w:t>日完成皮山县、和田地区自然资源局的项目备案工作，可开展地表地质工作；2019年8月1日以前完成皮山县、和田地区环保局环评备案工作；完成皮山县、和田地区草原与林业局临时用地林评备案工作，可开展槽探、浅钻、钻探等地质工作。</w:t>
      </w:r>
    </w:p>
    <w:p w14:paraId="29A2FC2A">
      <w:pPr>
        <w:pStyle w:val="3"/>
        <w:spacing w:line="500" w:lineRule="exact"/>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②开工准备：2019年5月21日-5月30日项目部管理人员入住施工现场，开展地表踏勘工作。</w:t>
      </w:r>
    </w:p>
    <w:p w14:paraId="35FEC29E">
      <w:pPr>
        <w:pStyle w:val="3"/>
        <w:spacing w:line="500" w:lineRule="exact"/>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③项目开工/完工：2019年6月1日向基金中心上报设计修改稿后，同意后，项目正式开展野外地质工作。2019年7月30日完成1:25000地质填图，剖面测量工作，2019年8月15日完成槽探工程，2019年9月1日完成浅钻工程，2019年9月10日23-1钻孔开展钻探工作。</w:t>
      </w:r>
    </w:p>
    <w:p w14:paraId="3101AF39">
      <w:pPr>
        <w:pStyle w:val="3"/>
        <w:spacing w:line="500" w:lineRule="exact"/>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④项目自检/初验：2019年10月1日，新疆煤田地质局综合地质勘查队组织专家对项目进行自检并于10月10日完成整改；2019年10月</w:t>
      </w:r>
      <w:r>
        <w:rPr>
          <w:rFonts w:ascii="仿宋_GB2312" w:hAnsi="仿宋" w:eastAsia="仿宋_GB2312" w:cs="MV Boli"/>
          <w:sz w:val="28"/>
          <w:szCs w:val="28"/>
        </w:rPr>
        <w:t>19</w:t>
      </w:r>
      <w:r>
        <w:rPr>
          <w:rFonts w:hint="eastAsia" w:ascii="仿宋_GB2312" w:hAnsi="仿宋" w:eastAsia="仿宋_GB2312" w:cs="MV Boli"/>
          <w:sz w:val="28"/>
          <w:szCs w:val="28"/>
        </w:rPr>
        <w:t>日项目接受基金中心野外中期检查，10月20日完成整改工作。</w:t>
      </w:r>
    </w:p>
    <w:p w14:paraId="3C6666AA">
      <w:pPr>
        <w:pStyle w:val="3"/>
        <w:spacing w:line="500" w:lineRule="exact"/>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该项目2020年1月10日进行冬休，预计2月10日复工，但受疫情影响，4月复工，预计8月份完成野外施工，同时向基金中心申请项目延期。</w:t>
      </w:r>
    </w:p>
    <w:p w14:paraId="2996EB01">
      <w:pPr>
        <w:spacing w:line="540" w:lineRule="exact"/>
        <w:ind w:firstLine="664" w:firstLineChars="243"/>
        <w:rPr>
          <w:rStyle w:val="8"/>
          <w:rFonts w:ascii="仿宋_GB2312" w:hAnsi="楷体"/>
          <w:spacing w:val="-4"/>
          <w:sz w:val="28"/>
          <w:szCs w:val="28"/>
        </w:rPr>
      </w:pPr>
      <w:r>
        <w:rPr>
          <w:rStyle w:val="8"/>
          <w:rFonts w:hint="eastAsia" w:ascii="仿宋_GB2312" w:hAnsi="楷体"/>
          <w:spacing w:val="-4"/>
          <w:sz w:val="28"/>
          <w:szCs w:val="28"/>
        </w:rPr>
        <w:t>（2）项目管理情况分析</w:t>
      </w:r>
    </w:p>
    <w:p w14:paraId="0640F9FF">
      <w:pPr>
        <w:spacing w:line="360" w:lineRule="auto"/>
        <w:ind w:firstLine="560"/>
        <w:rPr>
          <w:rFonts w:ascii="仿宋_GB2312" w:hAnsi="仿宋" w:cs="MV Boli"/>
          <w:sz w:val="28"/>
          <w:szCs w:val="28"/>
        </w:rPr>
      </w:pPr>
      <w:bookmarkStart w:id="2" w:name="_Hlk37519426"/>
      <w:bookmarkStart w:id="3" w:name="_Toc529232771"/>
      <w:r>
        <w:rPr>
          <w:rFonts w:hint="eastAsia" w:ascii="仿宋_GB2312" w:hAnsi="仿宋" w:cs="MV Boli"/>
          <w:sz w:val="28"/>
          <w:szCs w:val="28"/>
        </w:rPr>
        <w:t>自治区地质勘查基金项目管理中心</w:t>
      </w:r>
      <w:bookmarkEnd w:id="2"/>
      <w:r>
        <w:rPr>
          <w:rFonts w:hint="eastAsia" w:ascii="仿宋_GB2312" w:hAnsi="仿宋" w:cs="MV Boli"/>
          <w:sz w:val="28"/>
          <w:szCs w:val="28"/>
        </w:rPr>
        <w:t>为本项目的管理单位，我单位作为设计、施工单位，积极配合管理单位，根据</w:t>
      </w:r>
      <w:r>
        <w:rPr>
          <w:rFonts w:ascii="仿宋_GB2312" w:hAnsi="仿宋" w:cs="MV Boli"/>
          <w:sz w:val="28"/>
          <w:szCs w:val="28"/>
        </w:rPr>
        <w:t>GB/T</w:t>
      </w:r>
      <w:r>
        <w:rPr>
          <w:rFonts w:hint="eastAsia" w:ascii="仿宋_GB2312" w:hAnsi="仿宋" w:cs="MV Boli"/>
          <w:sz w:val="28"/>
          <w:szCs w:val="28"/>
        </w:rPr>
        <w:t>19001-2008</w:t>
      </w:r>
      <w:r>
        <w:rPr>
          <w:rFonts w:ascii="仿宋_GB2312" w:hAnsi="仿宋" w:cs="MV Boli"/>
          <w:sz w:val="28"/>
          <w:szCs w:val="28"/>
        </w:rPr>
        <w:t>标准的要求</w:t>
      </w:r>
      <w:r>
        <w:rPr>
          <w:rFonts w:hint="eastAsia" w:ascii="仿宋_GB2312" w:hAnsi="仿宋" w:cs="MV Boli"/>
          <w:sz w:val="28"/>
          <w:szCs w:val="28"/>
        </w:rPr>
        <w:t>，按照质量</w:t>
      </w:r>
      <w:r>
        <w:rPr>
          <w:rFonts w:ascii="仿宋_GB2312" w:hAnsi="仿宋" w:cs="MV Boli"/>
          <w:sz w:val="28"/>
          <w:szCs w:val="28"/>
        </w:rPr>
        <w:t>管理体系</w:t>
      </w:r>
      <w:r>
        <w:rPr>
          <w:rFonts w:hint="eastAsia" w:ascii="仿宋_GB2312" w:hAnsi="仿宋" w:cs="MV Boli"/>
          <w:sz w:val="28"/>
          <w:szCs w:val="28"/>
        </w:rPr>
        <w:t>及质量</w:t>
      </w:r>
      <w:r>
        <w:rPr>
          <w:rFonts w:ascii="仿宋_GB2312" w:hAnsi="仿宋" w:cs="MV Boli"/>
          <w:sz w:val="28"/>
          <w:szCs w:val="28"/>
        </w:rPr>
        <w:t>管理</w:t>
      </w:r>
      <w:r>
        <w:rPr>
          <w:rFonts w:hint="eastAsia" w:ascii="仿宋_GB2312" w:hAnsi="仿宋" w:cs="MV Boli"/>
          <w:sz w:val="28"/>
          <w:szCs w:val="28"/>
        </w:rPr>
        <w:t>程序</w:t>
      </w:r>
      <w:r>
        <w:rPr>
          <w:rFonts w:ascii="仿宋_GB2312" w:hAnsi="仿宋" w:cs="MV Boli"/>
          <w:sz w:val="28"/>
          <w:szCs w:val="28"/>
        </w:rPr>
        <w:t>文件，</w:t>
      </w:r>
      <w:r>
        <w:rPr>
          <w:rFonts w:hint="eastAsia" w:ascii="仿宋_GB2312" w:hAnsi="仿宋" w:cs="MV Boli"/>
          <w:sz w:val="28"/>
          <w:szCs w:val="28"/>
        </w:rPr>
        <w:t>在项目</w:t>
      </w:r>
      <w:r>
        <w:rPr>
          <w:rFonts w:ascii="仿宋_GB2312" w:hAnsi="仿宋" w:cs="MV Boli"/>
          <w:sz w:val="28"/>
          <w:szCs w:val="28"/>
        </w:rPr>
        <w:t>实施</w:t>
      </w:r>
      <w:r>
        <w:rPr>
          <w:rFonts w:hint="eastAsia" w:ascii="仿宋_GB2312" w:hAnsi="仿宋" w:cs="MV Boli"/>
          <w:sz w:val="28"/>
          <w:szCs w:val="28"/>
        </w:rPr>
        <w:t>过程中逐一进行。建立新疆自然资源厅、承作单位、项目组三级质量检查制度。具体过程如下：</w:t>
      </w:r>
    </w:p>
    <w:p w14:paraId="220C6D55">
      <w:pPr>
        <w:pStyle w:val="3"/>
        <w:spacing w:line="360" w:lineRule="auto"/>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①组织管理模式</w:t>
      </w:r>
      <w:bookmarkEnd w:id="3"/>
    </w:p>
    <w:p w14:paraId="7F84A02C">
      <w:pPr>
        <w:spacing w:line="360" w:lineRule="auto"/>
        <w:ind w:firstLine="560" w:firstLineChars="200"/>
        <w:rPr>
          <w:rFonts w:ascii="仿宋_GB2312" w:hAnsi="仿宋" w:cs="MV Boli"/>
          <w:sz w:val="28"/>
          <w:szCs w:val="28"/>
        </w:rPr>
      </w:pPr>
      <w:r>
        <w:rPr>
          <w:rFonts w:hint="eastAsia" w:ascii="仿宋_GB2312" w:hAnsi="仿宋" w:cs="MV Boli"/>
          <w:sz w:val="28"/>
          <w:szCs w:val="28"/>
        </w:rPr>
        <w:t>项目开工前组建项目部，落实岗位职责，设置项目经理、技术负责、质检员、测量员、安全员等岗位，分别选取我单位有相关施工管理经验人员担任，为项目的实施打下良好的组织保障。</w:t>
      </w:r>
    </w:p>
    <w:p w14:paraId="3306DC7E">
      <w:pPr>
        <w:ind w:firstLine="560" w:firstLineChars="200"/>
        <w:outlineLvl w:val="1"/>
        <w:rPr>
          <w:rFonts w:ascii="仿宋_GB2312" w:hAnsi="仿宋" w:cs="MV Boli"/>
          <w:sz w:val="28"/>
          <w:szCs w:val="28"/>
        </w:rPr>
      </w:pPr>
      <w:bookmarkStart w:id="4" w:name="_Toc529232772"/>
      <w:r>
        <w:rPr>
          <w:rFonts w:hint="eastAsia" w:ascii="仿宋" w:hAnsi="仿宋" w:eastAsia="仿宋" w:cs="MV Boli"/>
          <w:sz w:val="28"/>
          <w:szCs w:val="28"/>
        </w:rPr>
        <w:t>②</w:t>
      </w:r>
      <w:r>
        <w:rPr>
          <w:rFonts w:hint="eastAsia" w:ascii="仿宋_GB2312" w:hAnsi="仿宋" w:cs="MV Boli"/>
          <w:sz w:val="28"/>
          <w:szCs w:val="28"/>
        </w:rPr>
        <w:t>质量控制</w:t>
      </w:r>
      <w:bookmarkEnd w:id="4"/>
    </w:p>
    <w:p w14:paraId="58CDF4EA">
      <w:pPr>
        <w:spacing w:line="360" w:lineRule="auto"/>
        <w:ind w:firstLine="560"/>
        <w:rPr>
          <w:rFonts w:ascii="仿宋_GB2312" w:hAnsi="仿宋" w:cs="MV Boli"/>
          <w:sz w:val="28"/>
          <w:szCs w:val="28"/>
        </w:rPr>
      </w:pPr>
      <w:r>
        <w:rPr>
          <w:rFonts w:hint="eastAsia" w:ascii="仿宋_GB2312" w:hAnsi="仿宋" w:cs="MV Boli"/>
          <w:sz w:val="28"/>
          <w:szCs w:val="28"/>
        </w:rPr>
        <w:t>根据设计和收集的已有资料，编制野外工作安排，作为野外预查工作的主要依据；通过踏勘，完善野外勘查计划，对填图路线、槽探、工程浅钻、钻孔施工进行补充和完善，使之更加符合野外勘查工作的开展。</w:t>
      </w:r>
    </w:p>
    <w:p w14:paraId="035EDB60">
      <w:pPr>
        <w:spacing w:line="360" w:lineRule="auto"/>
        <w:ind w:firstLine="560"/>
        <w:rPr>
          <w:rFonts w:ascii="仿宋_GB2312" w:hAnsi="仿宋" w:cs="MV Boli"/>
          <w:sz w:val="28"/>
          <w:szCs w:val="28"/>
        </w:rPr>
      </w:pPr>
      <w:r>
        <w:rPr>
          <w:rFonts w:hint="eastAsia" w:ascii="仿宋_GB2312" w:hAnsi="仿宋" w:cs="MV Boli"/>
          <w:sz w:val="28"/>
          <w:szCs w:val="28"/>
        </w:rPr>
        <w:t>项目组每完成一项工程就安排时间自检和互检，检查率100%，发现问题及时改正甚至补测。在完善基础资料的过程中及时总结，以便不断完善勘查工作和工作思路。</w:t>
      </w:r>
    </w:p>
    <w:p w14:paraId="7C812275">
      <w:pPr>
        <w:spacing w:line="360" w:lineRule="auto"/>
        <w:ind w:firstLine="560"/>
        <w:rPr>
          <w:rFonts w:ascii="仿宋_GB2312" w:hAnsi="仿宋" w:cs="MV Boli"/>
          <w:sz w:val="28"/>
          <w:szCs w:val="28"/>
        </w:rPr>
      </w:pPr>
      <w:r>
        <w:rPr>
          <w:rFonts w:hint="eastAsia" w:ascii="仿宋_GB2312" w:hAnsi="仿宋" w:cs="MV Boli"/>
          <w:sz w:val="28"/>
          <w:szCs w:val="28"/>
        </w:rPr>
        <w:t>对已经收集的资料进行登记备案，既能方便项目成员及时查阅到有用的资料信息，还能非常清晰地知道项目还缺哪些资料，以便及时补充收集。要求项目成员阅读收集到的所有资料，并对资料进行摘录，以方便报告编写时项目成员之间相互采用，同时节省了查阅资料的时间。</w:t>
      </w:r>
    </w:p>
    <w:p w14:paraId="4914B658">
      <w:pPr>
        <w:spacing w:line="540" w:lineRule="exact"/>
        <w:ind w:firstLine="664" w:firstLineChars="243"/>
        <w:rPr>
          <w:rStyle w:val="8"/>
          <w:rFonts w:ascii="仿宋_GB2312" w:hAnsi="楷体"/>
          <w:spacing w:val="-4"/>
          <w:sz w:val="28"/>
          <w:szCs w:val="28"/>
        </w:rPr>
      </w:pPr>
      <w:r>
        <w:rPr>
          <w:rStyle w:val="8"/>
          <w:rFonts w:hint="eastAsia" w:ascii="仿宋_GB2312" w:hAnsi="楷体"/>
          <w:spacing w:val="-4"/>
          <w:sz w:val="28"/>
          <w:szCs w:val="28"/>
        </w:rPr>
        <w:t>（3）项目完成情况分析</w:t>
      </w:r>
    </w:p>
    <w:p w14:paraId="1F8032EA">
      <w:pPr>
        <w:autoSpaceDE w:val="0"/>
        <w:autoSpaceDN w:val="0"/>
        <w:adjustRightInd w:val="0"/>
        <w:ind w:firstLine="560"/>
        <w:rPr>
          <w:rFonts w:ascii="仿宋_GB2312" w:hAnsi="仿宋"/>
          <w:bCs/>
          <w:sz w:val="28"/>
          <w:szCs w:val="28"/>
        </w:rPr>
      </w:pPr>
      <w:r>
        <w:rPr>
          <w:rFonts w:hint="eastAsia" w:ascii="仿宋_GB2312" w:hAnsi="仿宋"/>
          <w:bCs/>
          <w:sz w:val="28"/>
          <w:szCs w:val="28"/>
        </w:rPr>
        <w:t>2019年5月完成两级单位备案，2019年5月项目部技术人员入住施工现场,5月30日开展地表踏勘工作。2019年6月1日正式开工，2019年9月1日完成地表地质工作，2019年10月</w:t>
      </w:r>
      <w:r>
        <w:rPr>
          <w:rFonts w:ascii="仿宋_GB2312" w:hAnsi="仿宋"/>
          <w:bCs/>
          <w:sz w:val="28"/>
          <w:szCs w:val="28"/>
        </w:rPr>
        <w:t>19</w:t>
      </w:r>
      <w:r>
        <w:rPr>
          <w:rFonts w:hint="eastAsia" w:ascii="仿宋_GB2312" w:hAnsi="仿宋"/>
          <w:bCs/>
          <w:sz w:val="28"/>
          <w:szCs w:val="28"/>
        </w:rPr>
        <w:t>日项目接受基金中心野外中期检查。</w:t>
      </w:r>
    </w:p>
    <w:p w14:paraId="42147E8F">
      <w:pPr>
        <w:autoSpaceDE w:val="0"/>
        <w:autoSpaceDN w:val="0"/>
        <w:adjustRightInd w:val="0"/>
        <w:ind w:firstLine="560"/>
        <w:rPr>
          <w:rFonts w:ascii="仿宋_GB2312" w:hAnsi="仿宋"/>
          <w:bCs/>
          <w:sz w:val="28"/>
          <w:szCs w:val="28"/>
        </w:rPr>
      </w:pPr>
      <w:r>
        <w:rPr>
          <w:rFonts w:hint="eastAsia" w:ascii="仿宋_GB2312" w:hAnsi="仿宋"/>
          <w:bCs/>
          <w:sz w:val="28"/>
          <w:szCs w:val="28"/>
        </w:rPr>
        <w:t>2019年度主要完成1∶25000地质草测140</w:t>
      </w:r>
      <w:r>
        <w:rPr>
          <w:rFonts w:hint="eastAsia" w:ascii="仿宋_GB2312" w:hAnsi="仿宋" w:cs="宋体"/>
          <w:color w:val="000000"/>
          <w:sz w:val="28"/>
          <w:szCs w:val="28"/>
        </w:rPr>
        <w:t>km</w:t>
      </w:r>
      <w:r>
        <w:rPr>
          <w:rFonts w:hint="eastAsia" w:ascii="仿宋_GB2312" w:hAnsi="仿宋" w:cs="宋体"/>
          <w:color w:val="000000"/>
          <w:sz w:val="28"/>
          <w:szCs w:val="28"/>
          <w:vertAlign w:val="superscript"/>
        </w:rPr>
        <w:t>2</w:t>
      </w:r>
      <w:r>
        <w:rPr>
          <w:rFonts w:hint="eastAsia" w:ascii="仿宋_GB2312" w:hAnsi="仿宋" w:cs="宋体"/>
          <w:color w:val="000000"/>
          <w:sz w:val="28"/>
          <w:szCs w:val="28"/>
        </w:rPr>
        <w:t>完成年度比例100％</w:t>
      </w:r>
      <w:r>
        <w:rPr>
          <w:rFonts w:hint="eastAsia" w:ascii="仿宋_GB2312" w:hAnsi="仿宋"/>
          <w:bCs/>
          <w:sz w:val="28"/>
          <w:szCs w:val="28"/>
        </w:rPr>
        <w:t>，1∶5000勘查线剖面测量20.64</w:t>
      </w:r>
      <w:r>
        <w:rPr>
          <w:rFonts w:hint="eastAsia" w:ascii="仿宋_GB2312" w:hAnsi="仿宋" w:cs="宋体"/>
          <w:color w:val="000000"/>
          <w:sz w:val="28"/>
          <w:szCs w:val="28"/>
        </w:rPr>
        <w:t>km完成年度比例101％，</w:t>
      </w:r>
      <w:r>
        <w:rPr>
          <w:rFonts w:hint="eastAsia" w:ascii="仿宋_GB2312" w:hAnsi="仿宋"/>
          <w:bCs/>
          <w:sz w:val="28"/>
          <w:szCs w:val="28"/>
        </w:rPr>
        <w:t>槽探工程</w:t>
      </w:r>
      <w:r>
        <w:rPr>
          <w:rFonts w:hint="eastAsia" w:ascii="仿宋_GB2312" w:hAnsi="仿宋" w:cs="宋体"/>
          <w:color w:val="000000"/>
          <w:sz w:val="28"/>
          <w:szCs w:val="28"/>
        </w:rPr>
        <w:t>512m</w:t>
      </w:r>
      <w:r>
        <w:rPr>
          <w:rFonts w:hint="eastAsia" w:ascii="仿宋_GB2312" w:hAnsi="仿宋" w:cs="宋体"/>
          <w:color w:val="000000"/>
          <w:sz w:val="28"/>
          <w:szCs w:val="28"/>
          <w:vertAlign w:val="superscript"/>
        </w:rPr>
        <w:t>3</w:t>
      </w:r>
      <w:r>
        <w:rPr>
          <w:rFonts w:hint="eastAsia" w:ascii="仿宋_GB2312" w:hAnsi="仿宋" w:cs="宋体"/>
          <w:color w:val="000000"/>
          <w:sz w:val="28"/>
          <w:szCs w:val="28"/>
        </w:rPr>
        <w:t>完成年度比例102％，</w:t>
      </w:r>
      <w:r>
        <w:rPr>
          <w:rFonts w:hint="eastAsia" w:ascii="仿宋_GB2312" w:hAnsi="仿宋"/>
          <w:bCs/>
          <w:sz w:val="28"/>
          <w:szCs w:val="28"/>
        </w:rPr>
        <w:t>工程浅钻</w:t>
      </w:r>
      <w:r>
        <w:rPr>
          <w:rFonts w:hint="eastAsia" w:ascii="仿宋_GB2312" w:hAnsi="仿宋" w:cs="宋体"/>
          <w:color w:val="000000"/>
          <w:sz w:val="28"/>
          <w:szCs w:val="28"/>
        </w:rPr>
        <w:t>256m完成年度比例122％，</w:t>
      </w:r>
      <w:r>
        <w:rPr>
          <w:rFonts w:hint="eastAsia" w:ascii="仿宋_GB2312" w:hAnsi="仿宋"/>
          <w:bCs/>
          <w:sz w:val="28"/>
          <w:szCs w:val="28"/>
        </w:rPr>
        <w:t>矿产地质钻探</w:t>
      </w:r>
      <w:r>
        <w:rPr>
          <w:rFonts w:hint="eastAsia" w:ascii="仿宋_GB2312" w:hAnsi="仿宋" w:cs="宋体"/>
          <w:color w:val="000000"/>
          <w:sz w:val="28"/>
          <w:szCs w:val="28"/>
        </w:rPr>
        <w:t>1642.88m完成年度比例103％，</w:t>
      </w:r>
      <w:r>
        <w:rPr>
          <w:rFonts w:hint="eastAsia" w:ascii="仿宋_GB2312" w:hAnsi="仿宋"/>
          <w:bCs/>
          <w:sz w:val="28"/>
          <w:szCs w:val="28"/>
        </w:rPr>
        <w:t>地球物理测井</w:t>
      </w:r>
      <w:r>
        <w:rPr>
          <w:rFonts w:hint="eastAsia" w:ascii="仿宋_GB2312" w:hAnsi="仿宋" w:cs="宋体"/>
          <w:color w:val="000000"/>
          <w:sz w:val="28"/>
          <w:szCs w:val="28"/>
        </w:rPr>
        <w:t>1640m完成年度比例103％，</w:t>
      </w:r>
      <w:r>
        <w:rPr>
          <w:rFonts w:hint="eastAsia" w:ascii="仿宋_GB2312" w:hAnsi="仿宋"/>
          <w:bCs/>
          <w:sz w:val="28"/>
          <w:szCs w:val="28"/>
        </w:rPr>
        <w:t>岩矿试验23个</w:t>
      </w:r>
      <w:r>
        <w:rPr>
          <w:rFonts w:hint="eastAsia" w:ascii="仿宋_GB2312" w:hAnsi="仿宋" w:cs="宋体"/>
          <w:color w:val="000000"/>
          <w:sz w:val="28"/>
          <w:szCs w:val="28"/>
        </w:rPr>
        <w:t>完成年度比例100％，</w:t>
      </w:r>
      <w:r>
        <w:rPr>
          <w:rFonts w:hint="eastAsia" w:ascii="仿宋_GB2312" w:hAnsi="仿宋"/>
          <w:bCs/>
          <w:sz w:val="28"/>
          <w:szCs w:val="28"/>
        </w:rPr>
        <w:t>工程测量10点</w:t>
      </w:r>
      <w:r>
        <w:rPr>
          <w:rFonts w:hint="eastAsia" w:ascii="仿宋_GB2312" w:hAnsi="仿宋" w:cs="宋体"/>
          <w:color w:val="000000"/>
          <w:sz w:val="28"/>
          <w:szCs w:val="28"/>
        </w:rPr>
        <w:t>完成年度比例83％。</w:t>
      </w:r>
      <w:r>
        <w:rPr>
          <w:rFonts w:hint="eastAsia" w:ascii="仿宋_GB2312" w:hAnsi="仿宋"/>
          <w:bCs/>
          <w:sz w:val="28"/>
          <w:szCs w:val="28"/>
        </w:rPr>
        <w:t>完成的工作量情况见下表。</w:t>
      </w:r>
    </w:p>
    <w:p w14:paraId="01C7D1FE">
      <w:pPr>
        <w:ind w:firstLine="560"/>
        <w:rPr>
          <w:rFonts w:ascii="仿宋_GB2312" w:hAnsi="仿宋"/>
          <w:bCs/>
          <w:sz w:val="28"/>
          <w:szCs w:val="28"/>
        </w:rPr>
      </w:pPr>
      <w:r>
        <w:rPr>
          <w:rFonts w:hint="eastAsia" w:ascii="仿宋" w:hAnsi="仿宋" w:eastAsia="仿宋"/>
          <w:szCs w:val="28"/>
        </w:rPr>
        <w:t xml:space="preserve">          </w:t>
      </w:r>
      <w:r>
        <w:rPr>
          <w:rFonts w:hint="eastAsia" w:ascii="仿宋" w:hAnsi="仿宋" w:eastAsia="仿宋"/>
          <w:bCs/>
          <w:szCs w:val="30"/>
        </w:rPr>
        <w:t xml:space="preserve">           </w:t>
      </w:r>
      <w:r>
        <w:rPr>
          <w:rFonts w:hint="eastAsia" w:ascii="仿宋_GB2312" w:hAnsi="仿宋"/>
          <w:bCs/>
          <w:sz w:val="28"/>
          <w:szCs w:val="28"/>
        </w:rPr>
        <w:t>工作量完成情况一览表        表1</w:t>
      </w:r>
    </w:p>
    <w:tbl>
      <w:tblPr>
        <w:tblStyle w:val="6"/>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64"/>
        <w:gridCol w:w="542"/>
        <w:gridCol w:w="1297"/>
        <w:gridCol w:w="1189"/>
        <w:gridCol w:w="1056"/>
        <w:gridCol w:w="1157"/>
        <w:gridCol w:w="1005"/>
      </w:tblGrid>
      <w:tr w14:paraId="01729E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88" w:hRule="exact"/>
          <w:jc w:val="center"/>
        </w:trPr>
        <w:tc>
          <w:tcPr>
            <w:tcW w:w="1791" w:type="pct"/>
            <w:gridSpan w:val="2"/>
            <w:vAlign w:val="center"/>
          </w:tcPr>
          <w:p w14:paraId="4338FFA5">
            <w:pPr>
              <w:widowControl/>
              <w:spacing w:line="240" w:lineRule="exact"/>
              <w:jc w:val="center"/>
              <w:rPr>
                <w:rFonts w:ascii="仿宋" w:hAnsi="仿宋" w:eastAsia="仿宋" w:cs="宋体"/>
                <w:color w:val="000000"/>
                <w:sz w:val="24"/>
                <w:szCs w:val="18"/>
              </w:rPr>
            </w:pPr>
            <w:bookmarkStart w:id="5" w:name="_Hlk37518443"/>
            <w:r>
              <w:rPr>
                <w:rFonts w:hint="eastAsia" w:ascii="仿宋" w:hAnsi="仿宋" w:eastAsia="仿宋" w:cs="宋体"/>
                <w:color w:val="000000"/>
                <w:sz w:val="24"/>
                <w:szCs w:val="18"/>
              </w:rPr>
              <w:t>工作项目</w:t>
            </w:r>
          </w:p>
        </w:tc>
        <w:tc>
          <w:tcPr>
            <w:tcW w:w="282" w:type="pct"/>
            <w:vAlign w:val="center"/>
          </w:tcPr>
          <w:p w14:paraId="02419FEC">
            <w:pPr>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单位</w:t>
            </w:r>
          </w:p>
        </w:tc>
        <w:tc>
          <w:tcPr>
            <w:tcW w:w="671" w:type="pct"/>
            <w:vAlign w:val="center"/>
          </w:tcPr>
          <w:p w14:paraId="6B2399EB">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总设计</w:t>
            </w:r>
          </w:p>
          <w:p w14:paraId="2A58A82D">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工作量</w:t>
            </w:r>
          </w:p>
        </w:tc>
        <w:tc>
          <w:tcPr>
            <w:tcW w:w="615" w:type="pct"/>
            <w:vAlign w:val="center"/>
          </w:tcPr>
          <w:p w14:paraId="01F776E6">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2019年设计工作量</w:t>
            </w:r>
          </w:p>
        </w:tc>
        <w:tc>
          <w:tcPr>
            <w:tcW w:w="523" w:type="pct"/>
            <w:vAlign w:val="center"/>
          </w:tcPr>
          <w:p w14:paraId="02E85E5C">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完成</w:t>
            </w:r>
          </w:p>
        </w:tc>
        <w:tc>
          <w:tcPr>
            <w:tcW w:w="598" w:type="pct"/>
            <w:vAlign w:val="center"/>
          </w:tcPr>
          <w:p w14:paraId="715AED85">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完成年度比例</w:t>
            </w:r>
          </w:p>
        </w:tc>
        <w:tc>
          <w:tcPr>
            <w:tcW w:w="520" w:type="pct"/>
            <w:vAlign w:val="center"/>
          </w:tcPr>
          <w:p w14:paraId="14145874">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备注</w:t>
            </w:r>
          </w:p>
        </w:tc>
      </w:tr>
      <w:tr w14:paraId="28BA09E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91" w:type="pct"/>
            <w:gridSpan w:val="2"/>
            <w:vAlign w:val="center"/>
          </w:tcPr>
          <w:p w14:paraId="18062F59">
            <w:pPr>
              <w:widowControl/>
              <w:spacing w:line="240" w:lineRule="exact"/>
              <w:jc w:val="center"/>
              <w:rPr>
                <w:rFonts w:ascii="仿宋" w:hAnsi="仿宋" w:eastAsia="仿宋" w:cs="宋体"/>
                <w:color w:val="000000"/>
                <w:sz w:val="24"/>
                <w:szCs w:val="18"/>
              </w:rPr>
            </w:pPr>
            <w:bookmarkStart w:id="6" w:name="_Hlk37518306"/>
            <w:r>
              <w:rPr>
                <w:rFonts w:hint="eastAsia" w:ascii="仿宋" w:hAnsi="仿宋" w:eastAsia="仿宋" w:cs="宋体"/>
                <w:color w:val="000000"/>
                <w:sz w:val="24"/>
                <w:szCs w:val="18"/>
              </w:rPr>
              <w:t>1∶25000地质草测</w:t>
            </w:r>
            <w:bookmarkEnd w:id="6"/>
          </w:p>
        </w:tc>
        <w:tc>
          <w:tcPr>
            <w:tcW w:w="282" w:type="pct"/>
            <w:vAlign w:val="center"/>
          </w:tcPr>
          <w:p w14:paraId="1AA5A4B5">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km</w:t>
            </w:r>
            <w:r>
              <w:rPr>
                <w:rFonts w:hint="eastAsia" w:ascii="仿宋" w:hAnsi="仿宋" w:eastAsia="仿宋" w:cs="宋体"/>
                <w:color w:val="000000"/>
                <w:sz w:val="24"/>
                <w:szCs w:val="18"/>
                <w:vertAlign w:val="superscript"/>
              </w:rPr>
              <w:t>2</w:t>
            </w:r>
          </w:p>
        </w:tc>
        <w:tc>
          <w:tcPr>
            <w:tcW w:w="671" w:type="pct"/>
            <w:vAlign w:val="center"/>
          </w:tcPr>
          <w:p w14:paraId="0100052E">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140</w:t>
            </w:r>
          </w:p>
        </w:tc>
        <w:tc>
          <w:tcPr>
            <w:tcW w:w="615" w:type="pct"/>
            <w:vAlign w:val="center"/>
          </w:tcPr>
          <w:p w14:paraId="2F2A0939">
            <w:pPr>
              <w:widowControl/>
              <w:spacing w:line="240" w:lineRule="exact"/>
              <w:jc w:val="center"/>
              <w:rPr>
                <w:rFonts w:ascii="仿宋" w:hAnsi="仿宋" w:eastAsia="仿宋" w:cs="宋体"/>
                <w:color w:val="000000"/>
                <w:sz w:val="24"/>
                <w:szCs w:val="18"/>
              </w:rPr>
            </w:pPr>
            <w:bookmarkStart w:id="7" w:name="_Hlk37518314"/>
            <w:r>
              <w:rPr>
                <w:rFonts w:hint="eastAsia" w:ascii="仿宋" w:hAnsi="仿宋" w:eastAsia="仿宋" w:cs="宋体"/>
                <w:color w:val="000000"/>
                <w:sz w:val="24"/>
                <w:szCs w:val="18"/>
              </w:rPr>
              <w:t>140</w:t>
            </w:r>
            <w:bookmarkEnd w:id="7"/>
          </w:p>
        </w:tc>
        <w:tc>
          <w:tcPr>
            <w:tcW w:w="523" w:type="pct"/>
            <w:vAlign w:val="center"/>
          </w:tcPr>
          <w:p w14:paraId="31B13620">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140</w:t>
            </w:r>
          </w:p>
        </w:tc>
        <w:tc>
          <w:tcPr>
            <w:tcW w:w="598" w:type="pct"/>
            <w:vAlign w:val="center"/>
          </w:tcPr>
          <w:p w14:paraId="7140F73C">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100％</w:t>
            </w:r>
          </w:p>
        </w:tc>
        <w:tc>
          <w:tcPr>
            <w:tcW w:w="520" w:type="pct"/>
            <w:vAlign w:val="center"/>
          </w:tcPr>
          <w:p w14:paraId="31483BC7">
            <w:pPr>
              <w:widowControl/>
              <w:spacing w:line="240" w:lineRule="exact"/>
              <w:jc w:val="center"/>
              <w:rPr>
                <w:rFonts w:ascii="仿宋" w:hAnsi="仿宋" w:eastAsia="仿宋" w:cs="宋体"/>
                <w:color w:val="000000"/>
                <w:sz w:val="24"/>
                <w:szCs w:val="18"/>
              </w:rPr>
            </w:pPr>
          </w:p>
        </w:tc>
      </w:tr>
      <w:bookmarkEnd w:id="5"/>
      <w:tr w14:paraId="2AE051E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91" w:type="pct"/>
            <w:gridSpan w:val="2"/>
            <w:vAlign w:val="center"/>
          </w:tcPr>
          <w:p w14:paraId="1CEE4F76">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1∶5000勘查线剖面测量</w:t>
            </w:r>
          </w:p>
        </w:tc>
        <w:tc>
          <w:tcPr>
            <w:tcW w:w="282" w:type="pct"/>
            <w:vAlign w:val="center"/>
          </w:tcPr>
          <w:p w14:paraId="71FA3825">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km</w:t>
            </w:r>
          </w:p>
        </w:tc>
        <w:tc>
          <w:tcPr>
            <w:tcW w:w="671" w:type="pct"/>
            <w:vAlign w:val="center"/>
          </w:tcPr>
          <w:p w14:paraId="6B9AA214">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20.40</w:t>
            </w:r>
          </w:p>
        </w:tc>
        <w:tc>
          <w:tcPr>
            <w:tcW w:w="615" w:type="pct"/>
            <w:vAlign w:val="center"/>
          </w:tcPr>
          <w:p w14:paraId="121A4EDA">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20.40</w:t>
            </w:r>
          </w:p>
        </w:tc>
        <w:tc>
          <w:tcPr>
            <w:tcW w:w="523" w:type="pct"/>
            <w:vAlign w:val="center"/>
          </w:tcPr>
          <w:p w14:paraId="60F0367F">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20.64</w:t>
            </w:r>
          </w:p>
        </w:tc>
        <w:tc>
          <w:tcPr>
            <w:tcW w:w="598" w:type="pct"/>
            <w:vAlign w:val="center"/>
          </w:tcPr>
          <w:p w14:paraId="53A5E6F1">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101％</w:t>
            </w:r>
          </w:p>
        </w:tc>
        <w:tc>
          <w:tcPr>
            <w:tcW w:w="520" w:type="pct"/>
            <w:vAlign w:val="center"/>
          </w:tcPr>
          <w:p w14:paraId="54B1736B">
            <w:pPr>
              <w:widowControl/>
              <w:spacing w:line="240" w:lineRule="exact"/>
              <w:jc w:val="center"/>
              <w:rPr>
                <w:rFonts w:ascii="仿宋" w:hAnsi="仿宋" w:eastAsia="仿宋" w:cs="宋体"/>
                <w:color w:val="000000"/>
                <w:sz w:val="24"/>
                <w:szCs w:val="18"/>
              </w:rPr>
            </w:pPr>
          </w:p>
        </w:tc>
      </w:tr>
      <w:tr w14:paraId="48292B0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91" w:type="pct"/>
            <w:gridSpan w:val="2"/>
            <w:vAlign w:val="center"/>
          </w:tcPr>
          <w:p w14:paraId="0226569B">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槽探工程</w:t>
            </w:r>
          </w:p>
        </w:tc>
        <w:tc>
          <w:tcPr>
            <w:tcW w:w="282" w:type="pct"/>
            <w:vAlign w:val="center"/>
          </w:tcPr>
          <w:p w14:paraId="4ED76E3E">
            <w:pPr>
              <w:widowControl/>
              <w:spacing w:line="240" w:lineRule="exact"/>
              <w:jc w:val="center"/>
              <w:rPr>
                <w:rFonts w:ascii="仿宋" w:hAnsi="仿宋" w:eastAsia="仿宋" w:cs="宋体"/>
                <w:color w:val="000000"/>
                <w:sz w:val="24"/>
                <w:szCs w:val="18"/>
              </w:rPr>
            </w:pPr>
            <w:r>
              <w:rPr>
                <w:rFonts w:ascii="仿宋" w:hAnsi="仿宋" w:eastAsia="仿宋" w:cs="宋体"/>
                <w:color w:val="000000"/>
                <w:sz w:val="24"/>
                <w:szCs w:val="18"/>
              </w:rPr>
              <w:t>m</w:t>
            </w:r>
            <w:r>
              <w:rPr>
                <w:rFonts w:hint="eastAsia" w:ascii="仿宋" w:hAnsi="仿宋" w:eastAsia="仿宋" w:cs="宋体"/>
                <w:color w:val="000000"/>
                <w:sz w:val="24"/>
                <w:szCs w:val="18"/>
                <w:vertAlign w:val="superscript"/>
              </w:rPr>
              <w:t>3</w:t>
            </w:r>
          </w:p>
        </w:tc>
        <w:tc>
          <w:tcPr>
            <w:tcW w:w="671" w:type="pct"/>
            <w:vAlign w:val="center"/>
          </w:tcPr>
          <w:p w14:paraId="7F4BC5E7">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500</w:t>
            </w:r>
          </w:p>
        </w:tc>
        <w:tc>
          <w:tcPr>
            <w:tcW w:w="615" w:type="pct"/>
            <w:vAlign w:val="center"/>
          </w:tcPr>
          <w:p w14:paraId="3D092A29">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500</w:t>
            </w:r>
          </w:p>
        </w:tc>
        <w:tc>
          <w:tcPr>
            <w:tcW w:w="523" w:type="pct"/>
            <w:vAlign w:val="center"/>
          </w:tcPr>
          <w:p w14:paraId="5EAC980A">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512</w:t>
            </w:r>
          </w:p>
        </w:tc>
        <w:tc>
          <w:tcPr>
            <w:tcW w:w="598" w:type="pct"/>
            <w:vAlign w:val="center"/>
          </w:tcPr>
          <w:p w14:paraId="6E03448C">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102%</w:t>
            </w:r>
          </w:p>
        </w:tc>
        <w:tc>
          <w:tcPr>
            <w:tcW w:w="520" w:type="pct"/>
            <w:vAlign w:val="center"/>
          </w:tcPr>
          <w:p w14:paraId="60AEFA07">
            <w:pPr>
              <w:widowControl/>
              <w:spacing w:line="240" w:lineRule="exact"/>
              <w:jc w:val="center"/>
              <w:rPr>
                <w:rFonts w:ascii="仿宋" w:hAnsi="仿宋" w:eastAsia="仿宋" w:cs="宋体"/>
                <w:color w:val="000000"/>
                <w:sz w:val="24"/>
                <w:szCs w:val="18"/>
              </w:rPr>
            </w:pPr>
          </w:p>
        </w:tc>
      </w:tr>
      <w:tr w14:paraId="0B563B5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91" w:type="pct"/>
            <w:gridSpan w:val="2"/>
            <w:vAlign w:val="center"/>
          </w:tcPr>
          <w:p w14:paraId="2320D268">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工程浅钻</w:t>
            </w:r>
          </w:p>
        </w:tc>
        <w:tc>
          <w:tcPr>
            <w:tcW w:w="282" w:type="pct"/>
            <w:vAlign w:val="center"/>
          </w:tcPr>
          <w:p w14:paraId="6D9F04E1">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m</w:t>
            </w:r>
          </w:p>
        </w:tc>
        <w:tc>
          <w:tcPr>
            <w:tcW w:w="671" w:type="pct"/>
            <w:vAlign w:val="center"/>
          </w:tcPr>
          <w:p w14:paraId="67046EC9">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210</w:t>
            </w:r>
          </w:p>
        </w:tc>
        <w:tc>
          <w:tcPr>
            <w:tcW w:w="615" w:type="pct"/>
            <w:vAlign w:val="center"/>
          </w:tcPr>
          <w:p w14:paraId="2DFEA172">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210</w:t>
            </w:r>
          </w:p>
        </w:tc>
        <w:tc>
          <w:tcPr>
            <w:tcW w:w="523" w:type="pct"/>
            <w:vAlign w:val="center"/>
          </w:tcPr>
          <w:p w14:paraId="6AC18F81">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256</w:t>
            </w:r>
          </w:p>
        </w:tc>
        <w:tc>
          <w:tcPr>
            <w:tcW w:w="598" w:type="pct"/>
            <w:vAlign w:val="center"/>
          </w:tcPr>
          <w:p w14:paraId="5A426149">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122%</w:t>
            </w:r>
          </w:p>
        </w:tc>
        <w:tc>
          <w:tcPr>
            <w:tcW w:w="520" w:type="pct"/>
            <w:vAlign w:val="center"/>
          </w:tcPr>
          <w:p w14:paraId="0CEFAF13">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7个</w:t>
            </w:r>
          </w:p>
        </w:tc>
      </w:tr>
      <w:tr w14:paraId="78030DB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80" w:type="pct"/>
            <w:vAlign w:val="center"/>
          </w:tcPr>
          <w:p w14:paraId="4DF43CFA">
            <w:pPr>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固体矿产钻探</w:t>
            </w:r>
          </w:p>
        </w:tc>
        <w:tc>
          <w:tcPr>
            <w:tcW w:w="911" w:type="pct"/>
            <w:vAlign w:val="center"/>
          </w:tcPr>
          <w:p w14:paraId="5E6D4383">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矿产地质钻探</w:t>
            </w:r>
          </w:p>
        </w:tc>
        <w:tc>
          <w:tcPr>
            <w:tcW w:w="282" w:type="pct"/>
            <w:vAlign w:val="center"/>
          </w:tcPr>
          <w:p w14:paraId="419DBB9F">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m</w:t>
            </w:r>
          </w:p>
        </w:tc>
        <w:tc>
          <w:tcPr>
            <w:tcW w:w="671" w:type="pct"/>
            <w:vAlign w:val="center"/>
          </w:tcPr>
          <w:p w14:paraId="7A7A38F9">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3200</w:t>
            </w:r>
          </w:p>
        </w:tc>
        <w:tc>
          <w:tcPr>
            <w:tcW w:w="615" w:type="pct"/>
            <w:vAlign w:val="center"/>
          </w:tcPr>
          <w:p w14:paraId="5A82A9FF">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1600</w:t>
            </w:r>
          </w:p>
        </w:tc>
        <w:tc>
          <w:tcPr>
            <w:tcW w:w="523" w:type="pct"/>
            <w:vAlign w:val="center"/>
          </w:tcPr>
          <w:p w14:paraId="34C6D937">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1642.88</w:t>
            </w:r>
          </w:p>
        </w:tc>
        <w:tc>
          <w:tcPr>
            <w:tcW w:w="598" w:type="pct"/>
            <w:vAlign w:val="center"/>
          </w:tcPr>
          <w:p w14:paraId="43C0E3A0">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103％</w:t>
            </w:r>
          </w:p>
        </w:tc>
        <w:tc>
          <w:tcPr>
            <w:tcW w:w="520" w:type="pct"/>
            <w:vAlign w:val="center"/>
          </w:tcPr>
          <w:p w14:paraId="11110437">
            <w:pPr>
              <w:widowControl/>
              <w:spacing w:line="240" w:lineRule="exact"/>
              <w:jc w:val="center"/>
              <w:rPr>
                <w:rFonts w:ascii="仿宋" w:hAnsi="仿宋" w:eastAsia="仿宋" w:cs="宋体"/>
                <w:color w:val="000000"/>
                <w:sz w:val="24"/>
                <w:szCs w:val="18"/>
              </w:rPr>
            </w:pPr>
          </w:p>
        </w:tc>
      </w:tr>
      <w:tr w14:paraId="46E44FA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80" w:type="pct"/>
            <w:vAlign w:val="center"/>
          </w:tcPr>
          <w:p w14:paraId="0E0C90FC">
            <w:pPr>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物探</w:t>
            </w:r>
          </w:p>
        </w:tc>
        <w:tc>
          <w:tcPr>
            <w:tcW w:w="911" w:type="pct"/>
            <w:vAlign w:val="center"/>
          </w:tcPr>
          <w:p w14:paraId="322C2DF0">
            <w:pPr>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地球物理测井</w:t>
            </w:r>
          </w:p>
        </w:tc>
        <w:tc>
          <w:tcPr>
            <w:tcW w:w="282" w:type="pct"/>
            <w:vAlign w:val="center"/>
          </w:tcPr>
          <w:p w14:paraId="7C628E3E">
            <w:pPr>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m</w:t>
            </w:r>
          </w:p>
        </w:tc>
        <w:tc>
          <w:tcPr>
            <w:tcW w:w="671" w:type="pct"/>
            <w:vAlign w:val="center"/>
          </w:tcPr>
          <w:p w14:paraId="00043612">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3000</w:t>
            </w:r>
          </w:p>
        </w:tc>
        <w:tc>
          <w:tcPr>
            <w:tcW w:w="615" w:type="pct"/>
            <w:vAlign w:val="center"/>
          </w:tcPr>
          <w:p w14:paraId="60907187">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1600</w:t>
            </w:r>
          </w:p>
        </w:tc>
        <w:tc>
          <w:tcPr>
            <w:tcW w:w="523" w:type="pct"/>
            <w:vAlign w:val="center"/>
          </w:tcPr>
          <w:p w14:paraId="1B705882">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1640</w:t>
            </w:r>
          </w:p>
        </w:tc>
        <w:tc>
          <w:tcPr>
            <w:tcW w:w="598" w:type="pct"/>
            <w:vAlign w:val="center"/>
          </w:tcPr>
          <w:p w14:paraId="263F416C">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103％</w:t>
            </w:r>
          </w:p>
        </w:tc>
        <w:tc>
          <w:tcPr>
            <w:tcW w:w="520" w:type="pct"/>
            <w:vAlign w:val="center"/>
          </w:tcPr>
          <w:p w14:paraId="508836C1">
            <w:pPr>
              <w:spacing w:line="240" w:lineRule="exact"/>
              <w:jc w:val="center"/>
              <w:rPr>
                <w:rFonts w:ascii="仿宋" w:hAnsi="仿宋" w:eastAsia="仿宋" w:cs="宋体"/>
                <w:color w:val="000000"/>
                <w:sz w:val="24"/>
                <w:szCs w:val="18"/>
              </w:rPr>
            </w:pPr>
          </w:p>
        </w:tc>
      </w:tr>
      <w:tr w14:paraId="066873F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80" w:type="pct"/>
            <w:vMerge w:val="restart"/>
            <w:vAlign w:val="center"/>
          </w:tcPr>
          <w:p w14:paraId="0E47C53C">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岩矿试验</w:t>
            </w:r>
          </w:p>
        </w:tc>
        <w:tc>
          <w:tcPr>
            <w:tcW w:w="911" w:type="pct"/>
            <w:vAlign w:val="center"/>
          </w:tcPr>
          <w:p w14:paraId="6B06D8D9">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煤心煤样</w:t>
            </w:r>
          </w:p>
        </w:tc>
        <w:tc>
          <w:tcPr>
            <w:tcW w:w="282" w:type="pct"/>
            <w:vAlign w:val="center"/>
          </w:tcPr>
          <w:p w14:paraId="50718132">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个</w:t>
            </w:r>
          </w:p>
        </w:tc>
        <w:tc>
          <w:tcPr>
            <w:tcW w:w="671" w:type="pct"/>
            <w:vAlign w:val="center"/>
          </w:tcPr>
          <w:p w14:paraId="7C09458B">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15</w:t>
            </w:r>
          </w:p>
        </w:tc>
        <w:tc>
          <w:tcPr>
            <w:tcW w:w="615" w:type="pct"/>
            <w:vAlign w:val="center"/>
          </w:tcPr>
          <w:p w14:paraId="4FA2B1C7">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4</w:t>
            </w:r>
          </w:p>
        </w:tc>
        <w:tc>
          <w:tcPr>
            <w:tcW w:w="523" w:type="pct"/>
            <w:vAlign w:val="center"/>
          </w:tcPr>
          <w:p w14:paraId="0BA199B6">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3</w:t>
            </w:r>
          </w:p>
        </w:tc>
        <w:tc>
          <w:tcPr>
            <w:tcW w:w="598" w:type="pct"/>
            <w:vAlign w:val="center"/>
          </w:tcPr>
          <w:p w14:paraId="41343AD6">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75％</w:t>
            </w:r>
          </w:p>
        </w:tc>
        <w:tc>
          <w:tcPr>
            <w:tcW w:w="520" w:type="pct"/>
            <w:vAlign w:val="center"/>
          </w:tcPr>
          <w:p w14:paraId="73DD14D6">
            <w:pPr>
              <w:widowControl/>
              <w:spacing w:line="240" w:lineRule="exact"/>
              <w:jc w:val="center"/>
              <w:rPr>
                <w:rFonts w:ascii="仿宋" w:hAnsi="仿宋" w:eastAsia="仿宋" w:cs="宋体"/>
                <w:color w:val="000000"/>
                <w:sz w:val="24"/>
                <w:szCs w:val="18"/>
              </w:rPr>
            </w:pPr>
          </w:p>
        </w:tc>
      </w:tr>
      <w:tr w14:paraId="3DC1ED9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80" w:type="pct"/>
            <w:vMerge w:val="continue"/>
            <w:vAlign w:val="center"/>
          </w:tcPr>
          <w:p w14:paraId="5DB6090C">
            <w:pPr>
              <w:widowControl/>
              <w:spacing w:line="240" w:lineRule="exact"/>
              <w:jc w:val="center"/>
              <w:rPr>
                <w:rFonts w:ascii="仿宋" w:hAnsi="仿宋" w:eastAsia="仿宋" w:cs="宋体"/>
                <w:color w:val="000000"/>
                <w:sz w:val="24"/>
                <w:szCs w:val="18"/>
              </w:rPr>
            </w:pPr>
          </w:p>
        </w:tc>
        <w:tc>
          <w:tcPr>
            <w:tcW w:w="911" w:type="pct"/>
            <w:vAlign w:val="center"/>
          </w:tcPr>
          <w:p w14:paraId="0970816D">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瓦斯</w:t>
            </w:r>
          </w:p>
        </w:tc>
        <w:tc>
          <w:tcPr>
            <w:tcW w:w="282" w:type="pct"/>
            <w:vAlign w:val="center"/>
          </w:tcPr>
          <w:p w14:paraId="130988AE">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个</w:t>
            </w:r>
          </w:p>
        </w:tc>
        <w:tc>
          <w:tcPr>
            <w:tcW w:w="671" w:type="pct"/>
            <w:vAlign w:val="center"/>
          </w:tcPr>
          <w:p w14:paraId="5C8FA049">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9</w:t>
            </w:r>
          </w:p>
        </w:tc>
        <w:tc>
          <w:tcPr>
            <w:tcW w:w="615" w:type="pct"/>
            <w:vAlign w:val="center"/>
          </w:tcPr>
          <w:p w14:paraId="7C6B5650">
            <w:pPr>
              <w:jc w:val="center"/>
              <w:rPr>
                <w:rFonts w:ascii="仿宋" w:hAnsi="仿宋" w:eastAsia="仿宋" w:cs="宋体"/>
                <w:color w:val="000000"/>
                <w:sz w:val="24"/>
                <w:szCs w:val="18"/>
              </w:rPr>
            </w:pPr>
            <w:r>
              <w:rPr>
                <w:rFonts w:hint="eastAsia" w:ascii="仿宋" w:hAnsi="仿宋" w:eastAsia="仿宋" w:cs="宋体"/>
                <w:color w:val="000000"/>
                <w:sz w:val="24"/>
                <w:szCs w:val="18"/>
              </w:rPr>
              <w:t>/</w:t>
            </w:r>
          </w:p>
        </w:tc>
        <w:tc>
          <w:tcPr>
            <w:tcW w:w="523" w:type="pct"/>
            <w:vAlign w:val="center"/>
          </w:tcPr>
          <w:p w14:paraId="7CB573CC">
            <w:pPr>
              <w:jc w:val="center"/>
              <w:rPr>
                <w:rFonts w:ascii="仿宋" w:hAnsi="仿宋" w:eastAsia="仿宋" w:cs="宋体"/>
                <w:color w:val="000000"/>
                <w:sz w:val="24"/>
                <w:szCs w:val="18"/>
              </w:rPr>
            </w:pPr>
            <w:r>
              <w:rPr>
                <w:rFonts w:hint="eastAsia" w:ascii="仿宋" w:hAnsi="仿宋" w:eastAsia="仿宋" w:cs="宋体"/>
                <w:color w:val="000000"/>
                <w:sz w:val="24"/>
                <w:szCs w:val="18"/>
              </w:rPr>
              <w:t>/</w:t>
            </w:r>
          </w:p>
        </w:tc>
        <w:tc>
          <w:tcPr>
            <w:tcW w:w="598" w:type="pct"/>
            <w:vAlign w:val="center"/>
          </w:tcPr>
          <w:p w14:paraId="0D5C9A1F">
            <w:pPr>
              <w:jc w:val="center"/>
              <w:rPr>
                <w:rFonts w:ascii="仿宋" w:hAnsi="仿宋" w:eastAsia="仿宋" w:cs="宋体"/>
                <w:color w:val="000000"/>
                <w:sz w:val="24"/>
                <w:szCs w:val="18"/>
              </w:rPr>
            </w:pPr>
            <w:r>
              <w:rPr>
                <w:rFonts w:hint="eastAsia" w:ascii="仿宋" w:hAnsi="仿宋" w:eastAsia="仿宋" w:cs="宋体"/>
                <w:color w:val="000000"/>
                <w:sz w:val="24"/>
                <w:szCs w:val="18"/>
              </w:rPr>
              <w:t>/</w:t>
            </w:r>
          </w:p>
        </w:tc>
        <w:tc>
          <w:tcPr>
            <w:tcW w:w="520" w:type="pct"/>
            <w:vAlign w:val="center"/>
          </w:tcPr>
          <w:p w14:paraId="4694167E">
            <w:pPr>
              <w:jc w:val="center"/>
              <w:rPr>
                <w:rFonts w:ascii="仿宋" w:hAnsi="仿宋" w:eastAsia="仿宋"/>
                <w:sz w:val="24"/>
                <w:szCs w:val="18"/>
              </w:rPr>
            </w:pPr>
          </w:p>
        </w:tc>
      </w:tr>
      <w:tr w14:paraId="185D6A4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80" w:type="pct"/>
            <w:vMerge w:val="continue"/>
            <w:vAlign w:val="center"/>
          </w:tcPr>
          <w:p w14:paraId="65F28CD0">
            <w:pPr>
              <w:widowControl/>
              <w:spacing w:line="240" w:lineRule="exact"/>
              <w:jc w:val="center"/>
              <w:rPr>
                <w:rFonts w:ascii="仿宋" w:hAnsi="仿宋" w:eastAsia="仿宋" w:cs="宋体"/>
                <w:color w:val="000000"/>
                <w:sz w:val="24"/>
                <w:szCs w:val="18"/>
              </w:rPr>
            </w:pPr>
          </w:p>
        </w:tc>
        <w:tc>
          <w:tcPr>
            <w:tcW w:w="911" w:type="pct"/>
            <w:vAlign w:val="center"/>
          </w:tcPr>
          <w:p w14:paraId="53CDB5A7">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光谱样</w:t>
            </w:r>
          </w:p>
        </w:tc>
        <w:tc>
          <w:tcPr>
            <w:tcW w:w="282" w:type="pct"/>
            <w:vAlign w:val="center"/>
          </w:tcPr>
          <w:p w14:paraId="7FDDA7BD">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个</w:t>
            </w:r>
          </w:p>
        </w:tc>
        <w:tc>
          <w:tcPr>
            <w:tcW w:w="671" w:type="pct"/>
            <w:vAlign w:val="center"/>
          </w:tcPr>
          <w:p w14:paraId="604BC89C">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20</w:t>
            </w:r>
          </w:p>
        </w:tc>
        <w:tc>
          <w:tcPr>
            <w:tcW w:w="615" w:type="pct"/>
            <w:vAlign w:val="center"/>
          </w:tcPr>
          <w:p w14:paraId="510ACC77">
            <w:pPr>
              <w:jc w:val="center"/>
              <w:rPr>
                <w:rFonts w:ascii="仿宋" w:hAnsi="仿宋" w:eastAsia="仿宋" w:cs="宋体"/>
                <w:color w:val="000000"/>
                <w:sz w:val="24"/>
                <w:szCs w:val="18"/>
              </w:rPr>
            </w:pPr>
            <w:r>
              <w:rPr>
                <w:rFonts w:hint="eastAsia" w:ascii="仿宋" w:hAnsi="仿宋" w:eastAsia="仿宋" w:cs="宋体"/>
                <w:color w:val="000000"/>
                <w:sz w:val="24"/>
                <w:szCs w:val="18"/>
              </w:rPr>
              <w:t>20</w:t>
            </w:r>
          </w:p>
        </w:tc>
        <w:tc>
          <w:tcPr>
            <w:tcW w:w="523" w:type="pct"/>
            <w:vAlign w:val="center"/>
          </w:tcPr>
          <w:p w14:paraId="799B52EB">
            <w:pPr>
              <w:jc w:val="center"/>
              <w:rPr>
                <w:rFonts w:ascii="仿宋" w:hAnsi="仿宋" w:eastAsia="仿宋" w:cs="宋体"/>
                <w:color w:val="000000"/>
                <w:sz w:val="24"/>
                <w:szCs w:val="18"/>
              </w:rPr>
            </w:pPr>
            <w:r>
              <w:rPr>
                <w:rFonts w:hint="eastAsia" w:ascii="仿宋" w:hAnsi="仿宋" w:eastAsia="仿宋" w:cs="宋体"/>
                <w:color w:val="000000"/>
                <w:sz w:val="24"/>
                <w:szCs w:val="18"/>
              </w:rPr>
              <w:t>20</w:t>
            </w:r>
          </w:p>
        </w:tc>
        <w:tc>
          <w:tcPr>
            <w:tcW w:w="598" w:type="pct"/>
            <w:vAlign w:val="center"/>
          </w:tcPr>
          <w:p w14:paraId="408678D6">
            <w:pPr>
              <w:jc w:val="center"/>
              <w:rPr>
                <w:rFonts w:ascii="仿宋" w:hAnsi="仿宋" w:eastAsia="仿宋" w:cs="宋体"/>
                <w:color w:val="000000"/>
                <w:sz w:val="24"/>
                <w:szCs w:val="18"/>
              </w:rPr>
            </w:pPr>
            <w:r>
              <w:rPr>
                <w:rFonts w:hint="eastAsia" w:ascii="仿宋" w:hAnsi="仿宋" w:eastAsia="仿宋" w:cs="宋体"/>
                <w:color w:val="000000"/>
                <w:sz w:val="24"/>
                <w:szCs w:val="18"/>
              </w:rPr>
              <w:t>100％</w:t>
            </w:r>
          </w:p>
        </w:tc>
        <w:tc>
          <w:tcPr>
            <w:tcW w:w="520" w:type="pct"/>
            <w:vAlign w:val="center"/>
          </w:tcPr>
          <w:p w14:paraId="71B1423C">
            <w:pPr>
              <w:jc w:val="center"/>
              <w:rPr>
                <w:rFonts w:ascii="仿宋" w:hAnsi="仿宋" w:eastAsia="仿宋"/>
                <w:sz w:val="24"/>
                <w:szCs w:val="18"/>
              </w:rPr>
            </w:pPr>
          </w:p>
        </w:tc>
      </w:tr>
      <w:tr w14:paraId="782E924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80" w:type="pct"/>
            <w:vAlign w:val="center"/>
          </w:tcPr>
          <w:p w14:paraId="471636AB">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工程测量</w:t>
            </w:r>
          </w:p>
        </w:tc>
        <w:tc>
          <w:tcPr>
            <w:tcW w:w="911" w:type="pct"/>
            <w:vAlign w:val="center"/>
          </w:tcPr>
          <w:p w14:paraId="007A6644">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工程点测量</w:t>
            </w:r>
          </w:p>
        </w:tc>
        <w:tc>
          <w:tcPr>
            <w:tcW w:w="282" w:type="pct"/>
            <w:vAlign w:val="center"/>
          </w:tcPr>
          <w:p w14:paraId="6D96A033">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点</w:t>
            </w:r>
          </w:p>
        </w:tc>
        <w:tc>
          <w:tcPr>
            <w:tcW w:w="671" w:type="pct"/>
            <w:vAlign w:val="center"/>
          </w:tcPr>
          <w:p w14:paraId="19519DA1">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14</w:t>
            </w:r>
          </w:p>
        </w:tc>
        <w:tc>
          <w:tcPr>
            <w:tcW w:w="615" w:type="pct"/>
            <w:vAlign w:val="center"/>
          </w:tcPr>
          <w:p w14:paraId="71CB79C1">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12</w:t>
            </w:r>
          </w:p>
        </w:tc>
        <w:tc>
          <w:tcPr>
            <w:tcW w:w="523" w:type="pct"/>
            <w:vAlign w:val="center"/>
          </w:tcPr>
          <w:p w14:paraId="48664F3F">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10</w:t>
            </w:r>
          </w:p>
        </w:tc>
        <w:tc>
          <w:tcPr>
            <w:tcW w:w="598" w:type="pct"/>
            <w:vAlign w:val="center"/>
          </w:tcPr>
          <w:p w14:paraId="21CEC960">
            <w:pPr>
              <w:widowControl/>
              <w:spacing w:line="240" w:lineRule="exact"/>
              <w:jc w:val="center"/>
              <w:rPr>
                <w:rFonts w:ascii="仿宋" w:hAnsi="仿宋" w:eastAsia="仿宋" w:cs="宋体"/>
                <w:color w:val="000000"/>
                <w:sz w:val="24"/>
                <w:szCs w:val="18"/>
              </w:rPr>
            </w:pPr>
            <w:r>
              <w:rPr>
                <w:rFonts w:hint="eastAsia" w:ascii="仿宋" w:hAnsi="仿宋" w:eastAsia="仿宋" w:cs="宋体"/>
                <w:color w:val="000000"/>
                <w:sz w:val="24"/>
                <w:szCs w:val="18"/>
              </w:rPr>
              <w:t>83％</w:t>
            </w:r>
          </w:p>
        </w:tc>
        <w:tc>
          <w:tcPr>
            <w:tcW w:w="520" w:type="pct"/>
            <w:vAlign w:val="center"/>
          </w:tcPr>
          <w:p w14:paraId="0A5A0698">
            <w:pPr>
              <w:widowControl/>
              <w:spacing w:line="240" w:lineRule="exact"/>
              <w:jc w:val="center"/>
              <w:rPr>
                <w:rFonts w:ascii="仿宋" w:hAnsi="仿宋" w:eastAsia="仿宋" w:cs="宋体"/>
                <w:color w:val="000000"/>
                <w:sz w:val="24"/>
                <w:szCs w:val="18"/>
              </w:rPr>
            </w:pPr>
          </w:p>
        </w:tc>
      </w:tr>
    </w:tbl>
    <w:p w14:paraId="0C7ED353">
      <w:pPr>
        <w:autoSpaceDE w:val="0"/>
        <w:autoSpaceDN w:val="0"/>
        <w:adjustRightInd w:val="0"/>
        <w:ind w:firstLine="560"/>
        <w:rPr>
          <w:rFonts w:ascii="仿宋_GB2312" w:hAnsi="仿宋"/>
          <w:bCs/>
          <w:sz w:val="28"/>
          <w:szCs w:val="28"/>
        </w:rPr>
      </w:pPr>
      <w:r>
        <w:rPr>
          <w:rFonts w:hint="eastAsia" w:ascii="仿宋_GB2312" w:hAnsi="仿宋"/>
          <w:bCs/>
          <w:sz w:val="28"/>
          <w:szCs w:val="28"/>
        </w:rPr>
        <w:t>通过本次煤炭资源预查工作的实施改善了力争为该区寻找有进一步勘查开发的煤炭基地。极好的促进了当地社会经济的发展，社会、经济、环境效益显著。</w:t>
      </w:r>
    </w:p>
    <w:p w14:paraId="790C402D">
      <w:pPr>
        <w:spacing w:line="500" w:lineRule="exact"/>
        <w:ind w:firstLine="640"/>
        <w:rPr>
          <w:rStyle w:val="8"/>
          <w:rFonts w:ascii="仿宋_GB2312" w:hAnsi="黑体"/>
          <w:spacing w:val="-4"/>
          <w:sz w:val="28"/>
          <w:szCs w:val="28"/>
        </w:rPr>
      </w:pPr>
      <w:r>
        <w:rPr>
          <w:rStyle w:val="8"/>
          <w:rFonts w:hint="eastAsia" w:ascii="仿宋_GB2312" w:hAnsi="黑体"/>
          <w:spacing w:val="-4"/>
          <w:sz w:val="28"/>
          <w:szCs w:val="28"/>
        </w:rPr>
        <w:t>4.项目资金使用及管理情况</w:t>
      </w:r>
    </w:p>
    <w:p w14:paraId="65747F0A">
      <w:pPr>
        <w:autoSpaceDE w:val="0"/>
        <w:autoSpaceDN w:val="0"/>
        <w:adjustRightInd w:val="0"/>
        <w:spacing w:line="360" w:lineRule="auto"/>
        <w:rPr>
          <w:rFonts w:ascii="仿宋_GB2312"/>
          <w:b/>
          <w:sz w:val="28"/>
          <w:szCs w:val="28"/>
        </w:rPr>
      </w:pPr>
      <w:r>
        <w:rPr>
          <w:rFonts w:hint="eastAsia" w:ascii="仿宋_GB2312" w:cs="宋体"/>
          <w:b/>
          <w:color w:val="FF0000"/>
          <w:kern w:val="0"/>
          <w:sz w:val="28"/>
          <w:szCs w:val="28"/>
        </w:rPr>
        <w:t xml:space="preserve">    </w:t>
      </w:r>
      <w:r>
        <w:rPr>
          <w:rFonts w:hint="eastAsia" w:ascii="仿宋_GB2312" w:cs="宋体"/>
          <w:b/>
          <w:kern w:val="0"/>
          <w:sz w:val="28"/>
          <w:szCs w:val="28"/>
        </w:rPr>
        <w:t>（1）</w:t>
      </w:r>
      <w:r>
        <w:rPr>
          <w:rFonts w:hint="eastAsia" w:ascii="仿宋_GB2312"/>
          <w:b/>
          <w:sz w:val="28"/>
          <w:szCs w:val="28"/>
        </w:rPr>
        <w:t>项目专项资金情况</w:t>
      </w:r>
    </w:p>
    <w:p w14:paraId="380A8CCF">
      <w:pPr>
        <w:spacing w:line="360" w:lineRule="auto"/>
        <w:ind w:firstLine="560" w:firstLineChars="200"/>
        <w:rPr>
          <w:rFonts w:ascii="仿宋_GB2312" w:hAnsi="宋体"/>
          <w:sz w:val="28"/>
          <w:szCs w:val="28"/>
        </w:rPr>
      </w:pPr>
      <w:r>
        <w:rPr>
          <w:rFonts w:hint="eastAsia" w:ascii="仿宋_GB2312"/>
          <w:sz w:val="28"/>
          <w:szCs w:val="28"/>
        </w:rPr>
        <w:t>①2019年</w:t>
      </w:r>
      <w:r>
        <w:rPr>
          <w:rFonts w:ascii="仿宋_GB2312"/>
          <w:sz w:val="28"/>
          <w:szCs w:val="28"/>
        </w:rPr>
        <w:t>5</w:t>
      </w:r>
      <w:r>
        <w:rPr>
          <w:rFonts w:hint="eastAsia" w:ascii="仿宋_GB2312"/>
          <w:sz w:val="28"/>
          <w:szCs w:val="28"/>
        </w:rPr>
        <w:t>月自治区地质勘查基金项目管理中心与</w:t>
      </w:r>
      <w:r>
        <w:rPr>
          <w:rFonts w:hint="eastAsia" w:ascii="仿宋_GB2312" w:hAnsi="宋体"/>
          <w:sz w:val="28"/>
          <w:szCs w:val="28"/>
        </w:rPr>
        <w:t>我队</w:t>
      </w:r>
      <w:r>
        <w:rPr>
          <w:rFonts w:hint="eastAsia" w:ascii="仿宋_GB2312"/>
          <w:sz w:val="28"/>
          <w:szCs w:val="28"/>
        </w:rPr>
        <w:t>签订地质勘查项目合同书，确定项目以下达的项目合同书的总价款，项目预算经费合计为600万元。</w:t>
      </w:r>
    </w:p>
    <w:p w14:paraId="5AC0EA0D">
      <w:pPr>
        <w:spacing w:line="360" w:lineRule="auto"/>
        <w:ind w:firstLine="560" w:firstLineChars="200"/>
        <w:rPr>
          <w:rFonts w:ascii="仿宋_GB2312"/>
          <w:color w:val="FF0000"/>
          <w:sz w:val="28"/>
          <w:szCs w:val="28"/>
        </w:rPr>
      </w:pPr>
      <w:r>
        <w:rPr>
          <w:rFonts w:hint="eastAsia" w:ascii="仿宋_GB2312"/>
          <w:sz w:val="28"/>
          <w:szCs w:val="28"/>
        </w:rPr>
        <w:t>根据新疆维吾尔自治区国土资源厅批准设计方案，项目总预算为600万元，基金拨款600万元。其中：人员费105.05万元，办公费2.25万元，印刷费8.50万元，水电费5.40万元，邮电费2.25万元，交通费90.25万元，差旅费42.94万元，专用材料和燃料费219.79万元，咨询劳务费89.92万元，委托业务费4.09万元，设备使用费19.69万元，维修费</w:t>
      </w:r>
      <w:r>
        <w:rPr>
          <w:rFonts w:hint="eastAsia" w:ascii="仿宋_GB2312"/>
          <w:sz w:val="28"/>
          <w:szCs w:val="28"/>
        </w:rPr>
        <w:tab/>
      </w:r>
      <w:r>
        <w:rPr>
          <w:rFonts w:hint="eastAsia" w:ascii="仿宋_GB2312"/>
          <w:sz w:val="28"/>
          <w:szCs w:val="28"/>
        </w:rPr>
        <w:t>6.17万元，其他费用3.25万元。</w:t>
      </w:r>
    </w:p>
    <w:p w14:paraId="0BDDC652">
      <w:pPr>
        <w:spacing w:line="360" w:lineRule="auto"/>
        <w:ind w:firstLine="560" w:firstLineChars="200"/>
        <w:rPr>
          <w:rFonts w:ascii="仿宋_GB2312"/>
          <w:sz w:val="28"/>
          <w:szCs w:val="28"/>
        </w:rPr>
      </w:pPr>
      <w:r>
        <w:rPr>
          <w:rFonts w:hint="eastAsia" w:ascii="仿宋_GB2312"/>
          <w:sz w:val="28"/>
          <w:szCs w:val="28"/>
        </w:rPr>
        <w:t>②</w:t>
      </w:r>
      <w:r>
        <w:rPr>
          <w:rFonts w:hint="eastAsia" w:ascii="仿宋_GB2312" w:hAnsi="仿宋_GB2312" w:cs="仿宋_GB2312"/>
          <w:sz w:val="28"/>
          <w:szCs w:val="28"/>
        </w:rPr>
        <w:t>根据《新疆维吾尔自治区地质勘查基金（周转金）管理暂行办法》（新财建[2008]52号）、关于《自治区地质勘查基金项目竣工资金结算和竣工财务决算管理暂行办法》（新财建[2012]225号）</w:t>
      </w:r>
      <w:r>
        <w:rPr>
          <w:rFonts w:hint="eastAsia" w:ascii="仿宋_GB2312"/>
          <w:sz w:val="28"/>
          <w:szCs w:val="28"/>
        </w:rPr>
        <w:t>文，对项目经费用途进行了规定，要求各地调项目承担单位，应对专项资金管理遵循科学、规范、公开、透明原则，专款专用，对项目单独核算、编制项目经费年度决算。</w:t>
      </w:r>
    </w:p>
    <w:p w14:paraId="524C1E06">
      <w:pPr>
        <w:spacing w:line="360" w:lineRule="auto"/>
        <w:ind w:firstLine="562" w:firstLineChars="200"/>
        <w:rPr>
          <w:rFonts w:ascii="仿宋_GB2312" w:cs="宋体"/>
          <w:b/>
          <w:kern w:val="0"/>
          <w:sz w:val="28"/>
          <w:szCs w:val="28"/>
          <w:lang w:val="zh-CN"/>
        </w:rPr>
      </w:pPr>
      <w:r>
        <w:rPr>
          <w:rFonts w:hint="eastAsia" w:ascii="仿宋_GB2312" w:cs="宋体"/>
          <w:b/>
          <w:kern w:val="0"/>
          <w:sz w:val="28"/>
          <w:szCs w:val="28"/>
        </w:rPr>
        <w:t>（2）</w:t>
      </w:r>
      <w:r>
        <w:rPr>
          <w:rFonts w:hint="eastAsia" w:ascii="仿宋_GB2312" w:cs="宋体"/>
          <w:b/>
          <w:kern w:val="0"/>
          <w:sz w:val="28"/>
          <w:szCs w:val="28"/>
          <w:lang w:val="zh-CN"/>
        </w:rPr>
        <w:t>项目资金到位情况</w:t>
      </w:r>
    </w:p>
    <w:p w14:paraId="31E56725">
      <w:pPr>
        <w:spacing w:line="360" w:lineRule="auto"/>
        <w:ind w:firstLine="560" w:firstLineChars="200"/>
        <w:rPr>
          <w:rFonts w:ascii="仿宋_GB2312" w:hAnsi="仿宋" w:cs="宋体"/>
          <w:b/>
          <w:kern w:val="0"/>
          <w:sz w:val="28"/>
          <w:szCs w:val="28"/>
        </w:rPr>
      </w:pPr>
      <w:r>
        <w:rPr>
          <w:rFonts w:hint="eastAsia" w:ascii="仿宋_GB2312"/>
          <w:sz w:val="28"/>
          <w:szCs w:val="28"/>
        </w:rPr>
        <w:t>截至项目费用发生日2019年12月31日，资金已到位600万元，由</w:t>
      </w:r>
      <w:r>
        <w:rPr>
          <w:rFonts w:hint="eastAsia" w:ascii="仿宋_GB2312" w:hAnsi="宋体"/>
          <w:sz w:val="28"/>
          <w:szCs w:val="28"/>
        </w:rPr>
        <w:t>新疆自治区财政厅</w:t>
      </w:r>
      <w:r>
        <w:rPr>
          <w:rFonts w:hint="eastAsia" w:ascii="仿宋_GB2312" w:hAnsi="仿宋"/>
          <w:sz w:val="28"/>
          <w:szCs w:val="28"/>
        </w:rPr>
        <w:t>分两次拨入，2019年10月拨入300万，2019年11月拨入300万，累计拨入600万</w:t>
      </w:r>
      <w:r>
        <w:rPr>
          <w:rFonts w:hint="eastAsia" w:ascii="仿宋_GB2312" w:hAnsi="仿宋" w:cs="宋体"/>
          <w:sz w:val="28"/>
          <w:szCs w:val="28"/>
        </w:rPr>
        <w:t>。</w:t>
      </w:r>
      <w:r>
        <w:rPr>
          <w:rFonts w:hint="eastAsia" w:ascii="仿宋_GB2312" w:hAnsi="仿宋" w:cs="宋体"/>
          <w:b/>
          <w:kern w:val="0"/>
          <w:sz w:val="28"/>
          <w:szCs w:val="28"/>
        </w:rPr>
        <w:t xml:space="preserve"> </w:t>
      </w:r>
    </w:p>
    <w:p w14:paraId="11A841FE">
      <w:pPr>
        <w:spacing w:line="360" w:lineRule="auto"/>
        <w:rPr>
          <w:rFonts w:ascii="仿宋_GB2312" w:cs="宋体"/>
          <w:b/>
          <w:kern w:val="0"/>
          <w:sz w:val="28"/>
          <w:szCs w:val="28"/>
          <w:lang w:val="zh-CN"/>
        </w:rPr>
      </w:pPr>
      <w:r>
        <w:rPr>
          <w:rFonts w:hint="eastAsia" w:ascii="仿宋_GB2312" w:cs="宋体"/>
          <w:b/>
          <w:kern w:val="0"/>
          <w:sz w:val="28"/>
          <w:szCs w:val="28"/>
        </w:rPr>
        <w:t>（3）</w:t>
      </w:r>
      <w:r>
        <w:rPr>
          <w:rFonts w:hint="eastAsia" w:ascii="仿宋_GB2312" w:cs="宋体"/>
          <w:b/>
          <w:kern w:val="0"/>
          <w:sz w:val="28"/>
          <w:szCs w:val="28"/>
          <w:lang w:val="zh-CN"/>
        </w:rPr>
        <w:t>项目资金支出情况</w:t>
      </w:r>
    </w:p>
    <w:p w14:paraId="4709A949">
      <w:pPr>
        <w:spacing w:line="540" w:lineRule="exact"/>
        <w:ind w:firstLine="544" w:firstLineChars="200"/>
        <w:rPr>
          <w:rStyle w:val="8"/>
          <w:rFonts w:ascii="仿宋_GB2312" w:hAnsi="仿宋"/>
          <w:b w:val="0"/>
          <w:spacing w:val="-4"/>
          <w:sz w:val="32"/>
          <w:szCs w:val="32"/>
        </w:rPr>
      </w:pPr>
      <w:r>
        <w:rPr>
          <w:rStyle w:val="8"/>
          <w:rFonts w:hint="eastAsia" w:ascii="仿宋_GB2312" w:hAnsi="仿宋"/>
          <w:b w:val="0"/>
          <w:spacing w:val="-4"/>
          <w:sz w:val="28"/>
          <w:szCs w:val="28"/>
        </w:rPr>
        <w:t>截止2019年1-12月份项目经费支出435.37万元，累计支出435.37万元，结转资金164.63万元元</w:t>
      </w:r>
      <w:r>
        <w:rPr>
          <w:rStyle w:val="8"/>
          <w:rFonts w:hint="eastAsia" w:ascii="仿宋_GB2312" w:hAnsi="仿宋"/>
          <w:b w:val="0"/>
          <w:spacing w:val="-4"/>
          <w:sz w:val="32"/>
          <w:szCs w:val="32"/>
        </w:rPr>
        <w:t>。</w:t>
      </w:r>
    </w:p>
    <w:p w14:paraId="4B86EFB3">
      <w:pPr>
        <w:spacing w:line="360" w:lineRule="auto"/>
        <w:rPr>
          <w:rFonts w:ascii="仿宋_GB2312"/>
          <w:color w:val="FF0000"/>
          <w:sz w:val="28"/>
          <w:szCs w:val="28"/>
        </w:rPr>
      </w:pPr>
      <w:r>
        <w:rPr>
          <w:rFonts w:hint="eastAsia" w:ascii="仿宋_GB2312"/>
          <w:b/>
          <w:sz w:val="28"/>
          <w:szCs w:val="28"/>
        </w:rPr>
        <w:t>（4）专项经费节余情况</w:t>
      </w:r>
    </w:p>
    <w:p w14:paraId="09846FAD">
      <w:pPr>
        <w:spacing w:line="360" w:lineRule="auto"/>
        <w:ind w:firstLine="560" w:firstLineChars="200"/>
        <w:rPr>
          <w:rStyle w:val="8"/>
          <w:rFonts w:ascii="仿宋" w:hAnsi="仿宋" w:eastAsia="仿宋"/>
          <w:b w:val="0"/>
          <w:spacing w:val="-4"/>
          <w:sz w:val="32"/>
          <w:szCs w:val="32"/>
        </w:rPr>
      </w:pPr>
      <w:r>
        <w:rPr>
          <w:rFonts w:hint="eastAsia" w:ascii="仿宋_GB2312"/>
          <w:sz w:val="28"/>
          <w:szCs w:val="28"/>
        </w:rPr>
        <w:t>截至</w:t>
      </w:r>
      <w:bookmarkStart w:id="9" w:name="_GoBack"/>
      <w:bookmarkEnd w:id="9"/>
      <w:r>
        <w:rPr>
          <w:rFonts w:hint="eastAsia" w:ascii="仿宋_GB2312"/>
          <w:sz w:val="28"/>
          <w:szCs w:val="28"/>
        </w:rPr>
        <w:t>项目费用发生日2019年12月31日，该项目专项经费预算600万元，实际支出435.37万元，专项经费账面结转164.63万元，项目专项经费结转下年使用。</w:t>
      </w:r>
    </w:p>
    <w:p w14:paraId="4B138E1E">
      <w:pPr>
        <w:spacing w:line="540" w:lineRule="exact"/>
        <w:rPr>
          <w:rStyle w:val="8"/>
          <w:rFonts w:ascii="仿宋_GB2312" w:hAnsi="楷体"/>
          <w:spacing w:val="-4"/>
          <w:sz w:val="28"/>
          <w:szCs w:val="28"/>
        </w:rPr>
      </w:pPr>
      <w:r>
        <w:rPr>
          <w:rStyle w:val="8"/>
          <w:rFonts w:hint="eastAsia" w:ascii="楷体" w:hAnsi="楷体" w:eastAsia="楷体"/>
          <w:spacing w:val="-4"/>
          <w:sz w:val="32"/>
          <w:szCs w:val="32"/>
        </w:rPr>
        <w:t xml:space="preserve">  </w:t>
      </w:r>
      <w:r>
        <w:rPr>
          <w:rStyle w:val="8"/>
          <w:rFonts w:hint="eastAsia" w:ascii="仿宋_GB2312" w:hAnsi="楷体"/>
          <w:spacing w:val="-4"/>
          <w:sz w:val="28"/>
          <w:szCs w:val="28"/>
        </w:rPr>
        <w:t>（5）项目资金管理情况分析</w:t>
      </w:r>
    </w:p>
    <w:p w14:paraId="310DECFE">
      <w:pPr>
        <w:pStyle w:val="3"/>
        <w:spacing w:line="500" w:lineRule="exact"/>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我单位执行《地勘单位财务制度》及《地勘单位会计制度》，按照地质项目、工作项目、成本项目开设账目，严格按项目工作手段进行成本费用的归集。</w:t>
      </w:r>
    </w:p>
    <w:p w14:paraId="50A8557E">
      <w:pPr>
        <w:pStyle w:val="3"/>
        <w:spacing w:line="500" w:lineRule="exact"/>
        <w:ind w:firstLine="560" w:firstLineChars="200"/>
        <w:rPr>
          <w:rFonts w:ascii="仿宋_GB2312" w:hAnsi="仿宋" w:eastAsia="仿宋_GB2312" w:cs="MV Boli"/>
          <w:sz w:val="28"/>
          <w:szCs w:val="28"/>
        </w:rPr>
      </w:pPr>
      <w:r>
        <w:rPr>
          <w:rFonts w:hint="eastAsia" w:ascii="仿宋_GB2312" w:hAnsi="仿宋" w:eastAsia="仿宋_GB2312" w:cs="MV Boli"/>
          <w:sz w:val="28"/>
          <w:szCs w:val="28"/>
        </w:rPr>
        <w:t>项目成本费用核算及经费支出严格按照《会计基础工作规范》、《地勘基金项目管理办法》、《地质矿产调查评价专项资金管理办法》及本队制定的财务收支审批制度、差旅费管理办法等规定执行。</w:t>
      </w:r>
    </w:p>
    <w:p w14:paraId="3F20A044">
      <w:pPr>
        <w:spacing w:line="360" w:lineRule="auto"/>
        <w:ind w:firstLine="565" w:firstLineChars="202"/>
        <w:rPr>
          <w:rFonts w:ascii="仿宋_GB2312" w:hAnsi="仿宋"/>
          <w:sz w:val="28"/>
          <w:szCs w:val="28"/>
        </w:rPr>
      </w:pPr>
      <w:r>
        <w:rPr>
          <w:rFonts w:hint="eastAsia" w:ascii="仿宋_GB2312" w:hAnsi="仿宋"/>
          <w:sz w:val="28"/>
          <w:szCs w:val="28"/>
        </w:rPr>
        <w:t>我单位根据实际工作情况逐步探索形成了一套比较健全的内部会计控制制度体系，对于确保地质项目经费安全有效使用起到了很好的作用，经过自查，内部审计，认为各项目会计核算、会计凭证、经费的开支范围和标准，是严格按照会计制度及国家的有关制度规定执行。在经费使用上，均能够按项目设计预算规定使用范围列支，经费支出与工作进度基本相适应。无挪用、截留、挤占项目经费情况，做到专款专用。经费使用总体比较好。</w:t>
      </w:r>
    </w:p>
    <w:p w14:paraId="00D6ED90">
      <w:pPr>
        <w:spacing w:line="540" w:lineRule="exact"/>
        <w:ind w:firstLine="546" w:firstLineChars="200"/>
        <w:rPr>
          <w:rStyle w:val="8"/>
          <w:rFonts w:ascii="仿宋_GB2312" w:hAnsi="楷体"/>
          <w:spacing w:val="-4"/>
          <w:sz w:val="28"/>
          <w:szCs w:val="28"/>
        </w:rPr>
      </w:pPr>
      <w:r>
        <w:rPr>
          <w:rStyle w:val="8"/>
          <w:rFonts w:hint="eastAsia" w:ascii="仿宋_GB2312" w:hAnsi="楷体"/>
          <w:spacing w:val="-4"/>
          <w:sz w:val="28"/>
          <w:szCs w:val="28"/>
        </w:rPr>
        <w:t>（二）项目绩效目标</w:t>
      </w:r>
    </w:p>
    <w:p w14:paraId="7CEF22A2">
      <w:pPr>
        <w:adjustRightInd w:val="0"/>
        <w:snapToGrid w:val="0"/>
        <w:spacing w:line="500" w:lineRule="exact"/>
        <w:ind w:firstLine="560" w:firstLineChars="200"/>
        <w:outlineLvl w:val="0"/>
        <w:rPr>
          <w:rFonts w:ascii="仿宋_GB2312" w:hAnsi="仿宋"/>
          <w:sz w:val="28"/>
          <w:szCs w:val="28"/>
        </w:rPr>
      </w:pPr>
      <w:r>
        <w:rPr>
          <w:rFonts w:hint="eastAsia" w:ascii="仿宋_GB2312" w:hAnsi="仿宋"/>
          <w:sz w:val="28"/>
          <w:szCs w:val="28"/>
        </w:rPr>
        <w:t>1.目标</w:t>
      </w:r>
    </w:p>
    <w:p w14:paraId="56ABD72F">
      <w:pPr>
        <w:adjustRightInd w:val="0"/>
        <w:spacing w:line="360" w:lineRule="auto"/>
        <w:ind w:firstLine="560" w:firstLineChars="200"/>
        <w:rPr>
          <w:rFonts w:ascii="仿宋_GB2312" w:hAnsi="仿宋"/>
          <w:sz w:val="28"/>
          <w:szCs w:val="28"/>
        </w:rPr>
      </w:pPr>
      <w:r>
        <w:rPr>
          <w:rFonts w:hint="eastAsia" w:ascii="仿宋_GB2312" w:hAnsi="仿宋"/>
          <w:sz w:val="28"/>
          <w:szCs w:val="28"/>
        </w:rPr>
        <w:t>充分收集以往地质资料，通过填图、槽探、浅钻、机械岩心钻探等综合勘查手段，了解预查区含煤特征，提交可供进一步工作的煤炭勘查基地。</w:t>
      </w:r>
    </w:p>
    <w:p w14:paraId="12CCE929">
      <w:pPr>
        <w:adjustRightInd w:val="0"/>
        <w:snapToGrid w:val="0"/>
        <w:spacing w:line="500" w:lineRule="exact"/>
        <w:ind w:firstLine="560" w:firstLineChars="200"/>
        <w:outlineLvl w:val="0"/>
        <w:rPr>
          <w:rFonts w:ascii="仿宋_GB2312" w:hAnsi="仿宋"/>
          <w:bCs/>
          <w:sz w:val="28"/>
          <w:szCs w:val="28"/>
        </w:rPr>
      </w:pPr>
      <w:r>
        <w:rPr>
          <w:rFonts w:hint="eastAsia" w:ascii="仿宋_GB2312" w:hAnsi="仿宋"/>
          <w:bCs/>
          <w:sz w:val="28"/>
          <w:szCs w:val="28"/>
        </w:rPr>
        <w:t>2.任务</w:t>
      </w:r>
    </w:p>
    <w:p w14:paraId="6CE81371">
      <w:pPr>
        <w:adjustRightInd w:val="0"/>
        <w:spacing w:line="360" w:lineRule="auto"/>
        <w:ind w:firstLine="560" w:firstLineChars="200"/>
        <w:rPr>
          <w:rFonts w:ascii="仿宋_GB2312" w:hAnsi="仿宋"/>
          <w:sz w:val="28"/>
          <w:szCs w:val="28"/>
        </w:rPr>
      </w:pPr>
      <w:r>
        <w:rPr>
          <w:rFonts w:hint="eastAsia" w:ascii="仿宋_GB2312" w:hAnsi="仿宋"/>
          <w:sz w:val="28"/>
          <w:szCs w:val="28"/>
        </w:rPr>
        <w:t>初步确定预查区地层层序，确定含煤地层时代；大致了解预查区构造形态；大致了解含煤地层分布的范围、煤层层数、煤层厚度和埋藏深度；大致了解煤类和煤质的一般特征；大致了解其他有益矿产情况；预测煤炭资源量。</w:t>
      </w:r>
    </w:p>
    <w:p w14:paraId="20293B28">
      <w:pPr>
        <w:spacing w:line="540" w:lineRule="exact"/>
        <w:ind w:firstLine="640"/>
        <w:rPr>
          <w:rStyle w:val="8"/>
          <w:rFonts w:ascii="仿宋_GB2312" w:hAnsi="黑体"/>
          <w:sz w:val="28"/>
          <w:szCs w:val="28"/>
        </w:rPr>
      </w:pPr>
      <w:r>
        <w:rPr>
          <w:rStyle w:val="8"/>
          <w:rFonts w:hint="eastAsia" w:ascii="仿宋_GB2312" w:hAnsi="黑体"/>
          <w:spacing w:val="-4"/>
          <w:sz w:val="28"/>
          <w:szCs w:val="28"/>
        </w:rPr>
        <w:t>二、项目绩效评价工作开展情况</w:t>
      </w:r>
      <w:r>
        <w:rPr>
          <w:rStyle w:val="8"/>
          <w:rFonts w:hint="eastAsia" w:ascii="仿宋_GB2312" w:hAnsi="黑体"/>
          <w:sz w:val="28"/>
          <w:szCs w:val="28"/>
        </w:rPr>
        <w:t xml:space="preserve"> </w:t>
      </w:r>
    </w:p>
    <w:p w14:paraId="696E00F6">
      <w:pPr>
        <w:spacing w:line="540" w:lineRule="exact"/>
        <w:ind w:firstLine="640"/>
        <w:rPr>
          <w:rStyle w:val="8"/>
          <w:rFonts w:ascii="仿宋_GB2312" w:hAnsi="黑体"/>
          <w:sz w:val="28"/>
          <w:szCs w:val="28"/>
        </w:rPr>
      </w:pPr>
      <w:r>
        <w:rPr>
          <w:rStyle w:val="8"/>
          <w:rFonts w:hint="eastAsia" w:ascii="仿宋_GB2312" w:hAnsi="黑体"/>
          <w:sz w:val="28"/>
          <w:szCs w:val="28"/>
        </w:rPr>
        <w:t>（一）绩效评价目的、对象和内容</w:t>
      </w:r>
    </w:p>
    <w:p w14:paraId="18B69C50">
      <w:pPr>
        <w:spacing w:line="540" w:lineRule="exact"/>
        <w:ind w:firstLine="640"/>
        <w:rPr>
          <w:rStyle w:val="8"/>
          <w:rFonts w:ascii="仿宋_GB2312" w:hAnsi="黑体"/>
          <w:b w:val="0"/>
          <w:sz w:val="28"/>
          <w:szCs w:val="28"/>
        </w:rPr>
      </w:pPr>
      <w:r>
        <w:rPr>
          <w:rStyle w:val="8"/>
          <w:rFonts w:hint="eastAsia" w:ascii="仿宋_GB2312" w:hAnsi="黑体"/>
          <w:b w:val="0"/>
          <w:sz w:val="28"/>
          <w:szCs w:val="28"/>
        </w:rPr>
        <w:t>1.绩效评价目的</w:t>
      </w:r>
    </w:p>
    <w:p w14:paraId="45DF7327">
      <w:pPr>
        <w:spacing w:line="540" w:lineRule="exact"/>
        <w:ind w:firstLine="640"/>
        <w:rPr>
          <w:rFonts w:ascii="仿宋_GB2312"/>
          <w:bCs/>
          <w:sz w:val="28"/>
          <w:szCs w:val="28"/>
        </w:rPr>
      </w:pPr>
      <w:r>
        <w:rPr>
          <w:rFonts w:hint="eastAsia" w:ascii="仿宋_GB2312"/>
          <w:bCs/>
          <w:sz w:val="28"/>
          <w:szCs w:val="28"/>
        </w:rPr>
        <w:t>依据项目设定的绩效目标，对项目支出的经济性、效率性、效益性和公平性进行客观、公平的测量、分析和评判。</w:t>
      </w:r>
    </w:p>
    <w:p w14:paraId="0A7DE0B3">
      <w:pPr>
        <w:spacing w:line="540" w:lineRule="exact"/>
        <w:ind w:firstLine="640"/>
        <w:rPr>
          <w:rFonts w:ascii="仿宋_GB2312"/>
          <w:bCs/>
          <w:sz w:val="28"/>
          <w:szCs w:val="28"/>
        </w:rPr>
      </w:pPr>
      <w:r>
        <w:rPr>
          <w:rFonts w:hint="eastAsia" w:ascii="仿宋_GB2312"/>
          <w:bCs/>
          <w:sz w:val="28"/>
          <w:szCs w:val="28"/>
        </w:rPr>
        <w:t>2.绩效评价对象和内容</w:t>
      </w:r>
    </w:p>
    <w:p w14:paraId="44C7C603">
      <w:pPr>
        <w:spacing w:line="540" w:lineRule="exact"/>
        <w:ind w:firstLine="640"/>
        <w:rPr>
          <w:rFonts w:ascii="仿宋_GB2312"/>
          <w:bCs/>
          <w:sz w:val="28"/>
          <w:szCs w:val="28"/>
        </w:rPr>
      </w:pPr>
      <w:r>
        <w:rPr>
          <w:rFonts w:hint="eastAsia" w:ascii="仿宋_GB2312"/>
          <w:bCs/>
          <w:sz w:val="28"/>
          <w:szCs w:val="28"/>
        </w:rPr>
        <w:t>该项目为2019年自治区财政出资项目，属单位自评项目，绩效评价内容一般为预算批复时确定的绩效指标，包括项目的产出数量、质量、时效、成本，以及经济效益、社会效益、生态效益、可持续影响、服务对象满意度等。</w:t>
      </w:r>
    </w:p>
    <w:p w14:paraId="64AE8F79">
      <w:pPr>
        <w:spacing w:line="540" w:lineRule="exact"/>
        <w:ind w:firstLine="640"/>
        <w:rPr>
          <w:rStyle w:val="8"/>
          <w:rFonts w:ascii="仿宋_GB2312" w:hAnsi="黑体"/>
          <w:sz w:val="28"/>
          <w:szCs w:val="28"/>
        </w:rPr>
      </w:pPr>
      <w:r>
        <w:rPr>
          <w:rStyle w:val="8"/>
          <w:rFonts w:hint="eastAsia" w:ascii="仿宋_GB2312" w:hAnsi="黑体"/>
          <w:sz w:val="28"/>
          <w:szCs w:val="28"/>
        </w:rPr>
        <w:t>（二）绩效评价原则、评价指标体系、评价方法、评价标准</w:t>
      </w:r>
    </w:p>
    <w:p w14:paraId="167611DC">
      <w:pPr>
        <w:spacing w:line="540" w:lineRule="exact"/>
        <w:ind w:firstLine="640"/>
        <w:rPr>
          <w:rStyle w:val="8"/>
          <w:rFonts w:ascii="仿宋_GB2312" w:hAnsi="黑体"/>
          <w:b w:val="0"/>
          <w:sz w:val="28"/>
          <w:szCs w:val="28"/>
        </w:rPr>
      </w:pPr>
      <w:r>
        <w:rPr>
          <w:rStyle w:val="8"/>
          <w:rFonts w:hint="eastAsia" w:ascii="仿宋_GB2312" w:hAnsi="黑体"/>
          <w:b w:val="0"/>
          <w:sz w:val="28"/>
          <w:szCs w:val="28"/>
        </w:rPr>
        <w:t>1.绩效评价原则</w:t>
      </w:r>
    </w:p>
    <w:p w14:paraId="3B7837DC">
      <w:pPr>
        <w:spacing w:line="600" w:lineRule="exact"/>
        <w:ind w:firstLine="640"/>
        <w:rPr>
          <w:rFonts w:ascii="仿宋_GB2312"/>
          <w:bCs/>
          <w:sz w:val="28"/>
          <w:szCs w:val="28"/>
        </w:rPr>
      </w:pPr>
      <w:r>
        <w:rPr>
          <w:rFonts w:hint="eastAsia" w:ascii="仿宋_GB2312"/>
          <w:bCs/>
          <w:sz w:val="28"/>
          <w:szCs w:val="28"/>
        </w:rPr>
        <w:t>本项目的绩效评价原则有以下几点：</w:t>
      </w:r>
    </w:p>
    <w:p w14:paraId="145A1096">
      <w:pPr>
        <w:spacing w:line="600" w:lineRule="exact"/>
        <w:ind w:firstLine="640"/>
        <w:rPr>
          <w:rFonts w:ascii="仿宋_GB2312"/>
          <w:bCs/>
          <w:sz w:val="28"/>
          <w:szCs w:val="28"/>
        </w:rPr>
      </w:pPr>
      <w:r>
        <w:rPr>
          <w:rFonts w:hint="eastAsia" w:ascii="仿宋_GB2312"/>
          <w:bCs/>
          <w:sz w:val="28"/>
          <w:szCs w:val="28"/>
        </w:rPr>
        <w:t>（1）科学公正。绩效评价应当运用科学合理的方法，按照规范的程序，对项目绩效进行客观、公正的反映。</w:t>
      </w:r>
    </w:p>
    <w:p w14:paraId="06B4AB6A">
      <w:pPr>
        <w:spacing w:line="600" w:lineRule="exact"/>
        <w:ind w:firstLine="640"/>
        <w:rPr>
          <w:rFonts w:ascii="仿宋_GB2312"/>
          <w:bCs/>
          <w:sz w:val="28"/>
          <w:szCs w:val="28"/>
        </w:rPr>
      </w:pPr>
      <w:r>
        <w:rPr>
          <w:rFonts w:hint="eastAsia" w:ascii="仿宋_GB2312"/>
          <w:bCs/>
          <w:sz w:val="28"/>
          <w:szCs w:val="28"/>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00D4BA3">
      <w:pPr>
        <w:spacing w:line="600" w:lineRule="exact"/>
        <w:ind w:firstLine="640"/>
        <w:rPr>
          <w:rFonts w:ascii="仿宋_GB2312"/>
          <w:bCs/>
          <w:sz w:val="28"/>
          <w:szCs w:val="28"/>
        </w:rPr>
      </w:pPr>
      <w:r>
        <w:rPr>
          <w:rFonts w:hint="eastAsia" w:ascii="仿宋_GB2312"/>
          <w:bCs/>
          <w:sz w:val="28"/>
          <w:szCs w:val="28"/>
        </w:rPr>
        <w:t>（3）激励约束。绩效评价结果应与预算安排、政策调整、改进管理实质性挂钩，体现奖优罚劣和激励相容导向，有效要安排、低效要压减、无效要问责。</w:t>
      </w:r>
    </w:p>
    <w:p w14:paraId="598642E9">
      <w:pPr>
        <w:spacing w:line="600" w:lineRule="exact"/>
        <w:ind w:firstLine="640"/>
        <w:rPr>
          <w:rFonts w:ascii="仿宋_GB2312"/>
          <w:bCs/>
          <w:sz w:val="28"/>
          <w:szCs w:val="28"/>
        </w:rPr>
      </w:pPr>
      <w:r>
        <w:rPr>
          <w:rFonts w:hint="eastAsia" w:ascii="仿宋_GB2312"/>
          <w:bCs/>
          <w:sz w:val="28"/>
          <w:szCs w:val="28"/>
        </w:rPr>
        <w:t>（4）公开透明。绩效评价结果应依法依规公开，并自觉接受社会监督。</w:t>
      </w:r>
    </w:p>
    <w:p w14:paraId="08FB8941">
      <w:pPr>
        <w:spacing w:line="540" w:lineRule="exact"/>
        <w:ind w:firstLine="640"/>
        <w:rPr>
          <w:rStyle w:val="8"/>
          <w:rFonts w:ascii="仿宋_GB2312" w:hAnsi="黑体"/>
          <w:b w:val="0"/>
          <w:sz w:val="28"/>
          <w:szCs w:val="28"/>
        </w:rPr>
      </w:pPr>
      <w:r>
        <w:rPr>
          <w:rStyle w:val="8"/>
          <w:rFonts w:hint="eastAsia" w:ascii="仿宋_GB2312" w:hAnsi="黑体"/>
          <w:b w:val="0"/>
          <w:sz w:val="28"/>
          <w:szCs w:val="28"/>
        </w:rPr>
        <w:t>2.绩效评价指标体系</w:t>
      </w:r>
    </w:p>
    <w:p w14:paraId="30B40EA0">
      <w:pPr>
        <w:spacing w:line="540" w:lineRule="exact"/>
        <w:ind w:firstLine="640"/>
        <w:rPr>
          <w:rStyle w:val="8"/>
          <w:rFonts w:ascii="仿宋_GB2312" w:hAnsi="黑体"/>
          <w:b w:val="0"/>
          <w:sz w:val="28"/>
          <w:szCs w:val="28"/>
        </w:rPr>
        <w:sectPr>
          <w:pgSz w:w="11906" w:h="16838"/>
          <w:pgMar w:top="720" w:right="992" w:bottom="720" w:left="1417" w:header="851" w:footer="992" w:gutter="0"/>
          <w:cols w:space="720" w:num="1"/>
          <w:docGrid w:type="lines" w:linePitch="312" w:charSpace="0"/>
        </w:sectPr>
      </w:pPr>
      <w:r>
        <w:rPr>
          <w:rStyle w:val="8"/>
          <w:rFonts w:hint="eastAsia" w:ascii="仿宋_GB2312" w:hAnsi="黑体"/>
          <w:b w:val="0"/>
          <w:sz w:val="28"/>
          <w:szCs w:val="28"/>
        </w:rPr>
        <w:t>根据该项目实际情况，制定了项目支出绩效评价指标体系，从决策、过程、产出、效益等方面进行绩效评价。详见下表：</w:t>
      </w:r>
    </w:p>
    <w:p w14:paraId="215F8975">
      <w:pPr>
        <w:pStyle w:val="2"/>
        <w:spacing w:before="0" w:after="0" w:line="240" w:lineRule="auto"/>
        <w:jc w:val="center"/>
        <w:rPr>
          <w:rFonts w:ascii="宋体" w:hAnsi="宋体" w:eastAsia="宋体" w:cs="宋体"/>
          <w:bCs/>
          <w:color w:val="000000"/>
          <w:sz w:val="36"/>
          <w:szCs w:val="28"/>
        </w:rPr>
      </w:pPr>
      <w:r>
        <w:rPr>
          <w:rFonts w:hint="eastAsia" w:ascii="宋体" w:hAnsi="宋体" w:eastAsia="宋体" w:cs="宋体"/>
          <w:bCs/>
          <w:color w:val="000000"/>
          <w:sz w:val="36"/>
          <w:szCs w:val="28"/>
        </w:rPr>
        <w:t>项目支出绩效评价指标体系</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411"/>
        <w:gridCol w:w="2789"/>
        <w:gridCol w:w="7341"/>
      </w:tblGrid>
      <w:tr w14:paraId="72D15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vAlign w:val="center"/>
          </w:tcPr>
          <w:p w14:paraId="66DCBCDB">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一级指标</w:t>
            </w:r>
          </w:p>
        </w:tc>
        <w:tc>
          <w:tcPr>
            <w:tcW w:w="1199" w:type="dxa"/>
            <w:shd w:val="clear" w:color="auto" w:fill="auto"/>
            <w:vAlign w:val="center"/>
          </w:tcPr>
          <w:p w14:paraId="3B46E225">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二级指标</w:t>
            </w:r>
          </w:p>
        </w:tc>
        <w:tc>
          <w:tcPr>
            <w:tcW w:w="1411" w:type="dxa"/>
            <w:shd w:val="clear" w:color="auto" w:fill="auto"/>
            <w:vAlign w:val="center"/>
          </w:tcPr>
          <w:p w14:paraId="392A6818">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三级指标</w:t>
            </w:r>
          </w:p>
        </w:tc>
        <w:tc>
          <w:tcPr>
            <w:tcW w:w="2789" w:type="dxa"/>
            <w:shd w:val="clear" w:color="auto" w:fill="auto"/>
            <w:vAlign w:val="center"/>
          </w:tcPr>
          <w:p w14:paraId="603A8412">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指标解释</w:t>
            </w:r>
          </w:p>
        </w:tc>
        <w:tc>
          <w:tcPr>
            <w:tcW w:w="7341" w:type="dxa"/>
            <w:shd w:val="clear" w:color="auto" w:fill="auto"/>
            <w:vAlign w:val="center"/>
          </w:tcPr>
          <w:p w14:paraId="1855FF4C">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指标说明</w:t>
            </w:r>
          </w:p>
        </w:tc>
      </w:tr>
      <w:tr w14:paraId="3D45A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91" w:hRule="atLeast"/>
          <w:jc w:val="center"/>
        </w:trPr>
        <w:tc>
          <w:tcPr>
            <w:tcW w:w="861" w:type="dxa"/>
            <w:vMerge w:val="restart"/>
            <w:shd w:val="clear" w:color="auto" w:fill="auto"/>
            <w:vAlign w:val="center"/>
          </w:tcPr>
          <w:p w14:paraId="1F272EF5">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　</w:t>
            </w:r>
          </w:p>
          <w:p w14:paraId="38562EE8">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　</w:t>
            </w:r>
          </w:p>
          <w:p w14:paraId="5481C077">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199" w:type="dxa"/>
            <w:vMerge w:val="restart"/>
            <w:shd w:val="clear" w:color="auto" w:fill="auto"/>
            <w:vAlign w:val="center"/>
          </w:tcPr>
          <w:p w14:paraId="3BBBEB5B">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411" w:type="dxa"/>
            <w:shd w:val="clear" w:color="auto" w:fill="auto"/>
            <w:vAlign w:val="center"/>
          </w:tcPr>
          <w:p w14:paraId="1AC6E7E8">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14:paraId="6B5D5275">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2789" w:type="dxa"/>
            <w:shd w:val="clear" w:color="auto" w:fill="auto"/>
            <w:vAlign w:val="center"/>
          </w:tcPr>
          <w:p w14:paraId="40E9431D">
            <w:pPr>
              <w:widowControl/>
              <w:spacing w:line="0" w:lineRule="atLeast"/>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7341" w:type="dxa"/>
            <w:shd w:val="clear" w:color="auto" w:fill="auto"/>
            <w:vAlign w:val="center"/>
          </w:tcPr>
          <w:p w14:paraId="78A0B3B3">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①项目立项是否符合国家法律法规、国民经济发展规划和相关政策；</w:t>
            </w:r>
            <w:r>
              <w:rPr>
                <w:rFonts w:hint="eastAsia" w:ascii="宋体" w:hAnsi="宋体" w:cs="宋体"/>
                <w:color w:val="000000"/>
                <w:kern w:val="0"/>
                <w:sz w:val="22"/>
              </w:rPr>
              <w:br w:type="textWrapping"/>
            </w:r>
            <w:r>
              <w:rPr>
                <w:rFonts w:hint="eastAsia" w:ascii="宋体" w:hAnsi="宋体" w:cs="宋体"/>
                <w:color w:val="000000"/>
                <w:kern w:val="0"/>
                <w:sz w:val="22"/>
              </w:rPr>
              <w:t>②项目立项是否符合行业发展规划和政策要求；</w:t>
            </w:r>
            <w:r>
              <w:rPr>
                <w:rFonts w:hint="eastAsia" w:ascii="宋体" w:hAnsi="宋体" w:cs="宋体"/>
                <w:color w:val="000000"/>
                <w:kern w:val="0"/>
                <w:sz w:val="22"/>
              </w:rPr>
              <w:br w:type="textWrapping"/>
            </w:r>
            <w:r>
              <w:rPr>
                <w:rFonts w:hint="eastAsia" w:ascii="宋体" w:hAnsi="宋体" w:cs="宋体"/>
                <w:color w:val="000000"/>
                <w:kern w:val="0"/>
                <w:sz w:val="22"/>
              </w:rPr>
              <w:t>③项目立项是否与部门职责范围相符，属于部门履职所需；</w:t>
            </w:r>
            <w:r>
              <w:rPr>
                <w:rFonts w:hint="eastAsia" w:ascii="宋体" w:hAnsi="宋体" w:cs="宋体"/>
                <w:color w:val="000000"/>
                <w:kern w:val="0"/>
                <w:sz w:val="22"/>
              </w:rPr>
              <w:br w:type="textWrapping"/>
            </w:r>
            <w:r>
              <w:rPr>
                <w:rFonts w:hint="eastAsia" w:ascii="宋体" w:hAnsi="宋体" w:cs="宋体"/>
                <w:color w:val="000000"/>
                <w:kern w:val="0"/>
                <w:sz w:val="22"/>
              </w:rPr>
              <w:t>④项目是否属于公共财政支持范围，是否符合中央、地方事权支出责任划分原则；</w:t>
            </w:r>
            <w:r>
              <w:rPr>
                <w:rFonts w:hint="eastAsia" w:ascii="宋体" w:hAnsi="宋体" w:cs="宋体"/>
                <w:color w:val="000000"/>
                <w:kern w:val="0"/>
                <w:sz w:val="22"/>
              </w:rPr>
              <w:br w:type="textWrapping"/>
            </w:r>
            <w:r>
              <w:rPr>
                <w:rFonts w:hint="eastAsia" w:ascii="宋体" w:hAnsi="宋体" w:cs="宋体"/>
                <w:color w:val="000000"/>
                <w:kern w:val="0"/>
                <w:sz w:val="22"/>
              </w:rPr>
              <w:t>⑤项目是否与相关部门同类项目或部门内部相关项目重复。</w:t>
            </w:r>
          </w:p>
        </w:tc>
      </w:tr>
      <w:tr w14:paraId="5ADEF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vAlign w:val="center"/>
          </w:tcPr>
          <w:p w14:paraId="6DAB8A70">
            <w:pPr>
              <w:spacing w:line="0" w:lineRule="atLeast"/>
              <w:jc w:val="center"/>
              <w:rPr>
                <w:rFonts w:ascii="宋体" w:hAnsi="宋体" w:cs="宋体"/>
                <w:color w:val="000000"/>
                <w:kern w:val="0"/>
                <w:sz w:val="22"/>
              </w:rPr>
            </w:pPr>
          </w:p>
        </w:tc>
        <w:tc>
          <w:tcPr>
            <w:tcW w:w="1199" w:type="dxa"/>
            <w:vMerge w:val="continue"/>
            <w:shd w:val="clear" w:color="auto" w:fill="auto"/>
            <w:vAlign w:val="center"/>
          </w:tcPr>
          <w:p w14:paraId="2EC2C898">
            <w:pPr>
              <w:widowControl/>
              <w:spacing w:line="0" w:lineRule="atLeast"/>
              <w:jc w:val="center"/>
              <w:rPr>
                <w:rFonts w:ascii="宋体" w:hAnsi="宋体" w:cs="宋体"/>
                <w:color w:val="000000"/>
                <w:kern w:val="0"/>
                <w:sz w:val="22"/>
              </w:rPr>
            </w:pPr>
          </w:p>
        </w:tc>
        <w:tc>
          <w:tcPr>
            <w:tcW w:w="1411" w:type="dxa"/>
            <w:shd w:val="clear" w:color="auto" w:fill="auto"/>
            <w:vAlign w:val="center"/>
          </w:tcPr>
          <w:p w14:paraId="395CD461">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14:paraId="75F7476D">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2789" w:type="dxa"/>
            <w:shd w:val="clear" w:color="auto" w:fill="auto"/>
            <w:vAlign w:val="center"/>
          </w:tcPr>
          <w:p w14:paraId="4CEACB1E">
            <w:pPr>
              <w:widowControl/>
              <w:spacing w:line="0" w:lineRule="atLeast"/>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7341" w:type="dxa"/>
            <w:shd w:val="clear" w:color="auto" w:fill="auto"/>
            <w:vAlign w:val="center"/>
          </w:tcPr>
          <w:p w14:paraId="7A06415A">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①项目是否按照规定的程序申请设立；</w:t>
            </w:r>
            <w:r>
              <w:rPr>
                <w:rFonts w:hint="eastAsia" w:ascii="宋体" w:hAnsi="宋体" w:cs="宋体"/>
                <w:color w:val="000000"/>
                <w:kern w:val="0"/>
                <w:sz w:val="22"/>
              </w:rPr>
              <w:br w:type="textWrapping"/>
            </w:r>
            <w:r>
              <w:rPr>
                <w:rFonts w:hint="eastAsia" w:ascii="宋体" w:hAnsi="宋体" w:cs="宋体"/>
                <w:color w:val="000000"/>
                <w:kern w:val="0"/>
                <w:sz w:val="22"/>
              </w:rPr>
              <w:t>②审批文件、材料是否符合相关要求；</w:t>
            </w:r>
            <w:r>
              <w:rPr>
                <w:rFonts w:hint="eastAsia" w:ascii="宋体" w:hAnsi="宋体" w:cs="宋体"/>
                <w:color w:val="000000"/>
                <w:kern w:val="0"/>
                <w:sz w:val="22"/>
              </w:rPr>
              <w:br w:type="textWrapping"/>
            </w:r>
            <w:r>
              <w:rPr>
                <w:rFonts w:hint="eastAsia" w:ascii="宋体" w:hAnsi="宋体" w:cs="宋体"/>
                <w:color w:val="000000"/>
                <w:kern w:val="0"/>
                <w:sz w:val="22"/>
              </w:rPr>
              <w:t>③事前是否已经过必要的可行性研究、专家论证、风险评估、绩效评估、集体决策。</w:t>
            </w:r>
          </w:p>
        </w:tc>
      </w:tr>
      <w:tr w14:paraId="13967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auto"/>
            <w:vAlign w:val="center"/>
          </w:tcPr>
          <w:p w14:paraId="7DBF3DC6">
            <w:pPr>
              <w:spacing w:line="0" w:lineRule="atLeast"/>
              <w:jc w:val="center"/>
              <w:rPr>
                <w:rFonts w:ascii="宋体" w:hAnsi="宋体" w:cs="宋体"/>
                <w:color w:val="000000"/>
                <w:kern w:val="0"/>
                <w:sz w:val="22"/>
              </w:rPr>
            </w:pPr>
          </w:p>
        </w:tc>
        <w:tc>
          <w:tcPr>
            <w:tcW w:w="1199" w:type="dxa"/>
            <w:shd w:val="clear" w:color="auto" w:fill="auto"/>
            <w:vAlign w:val="center"/>
          </w:tcPr>
          <w:p w14:paraId="1338B540">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　</w:t>
            </w:r>
          </w:p>
        </w:tc>
        <w:tc>
          <w:tcPr>
            <w:tcW w:w="1411" w:type="dxa"/>
            <w:shd w:val="clear" w:color="auto" w:fill="auto"/>
            <w:vAlign w:val="center"/>
          </w:tcPr>
          <w:p w14:paraId="00EDAF50">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14:paraId="1A0B8712">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2789" w:type="dxa"/>
            <w:shd w:val="clear" w:color="auto" w:fill="auto"/>
            <w:vAlign w:val="center"/>
          </w:tcPr>
          <w:p w14:paraId="37B521D8">
            <w:pPr>
              <w:widowControl/>
              <w:spacing w:line="0" w:lineRule="atLeast"/>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7341" w:type="dxa"/>
            <w:shd w:val="clear" w:color="auto" w:fill="auto"/>
            <w:vAlign w:val="center"/>
          </w:tcPr>
          <w:p w14:paraId="6E724145">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（如未设定预算绩效目标，也可考核其他工作任务目标）</w:t>
            </w:r>
            <w:r>
              <w:rPr>
                <w:rFonts w:hint="eastAsia" w:ascii="宋体" w:hAnsi="宋体" w:cs="宋体"/>
                <w:color w:val="000000"/>
                <w:kern w:val="0"/>
                <w:sz w:val="22"/>
              </w:rPr>
              <w:br w:type="textWrapping"/>
            </w:r>
            <w:r>
              <w:rPr>
                <w:rFonts w:hint="eastAsia" w:ascii="宋体" w:hAnsi="宋体" w:cs="宋体"/>
                <w:color w:val="000000"/>
                <w:kern w:val="0"/>
                <w:sz w:val="22"/>
              </w:rPr>
              <w:t>①项目是否有绩效目标；</w:t>
            </w:r>
            <w:r>
              <w:rPr>
                <w:rFonts w:hint="eastAsia" w:ascii="宋体" w:hAnsi="宋体" w:cs="宋体"/>
                <w:color w:val="000000"/>
                <w:kern w:val="0"/>
                <w:sz w:val="22"/>
              </w:rPr>
              <w:br w:type="textWrapping"/>
            </w:r>
            <w:r>
              <w:rPr>
                <w:rFonts w:hint="eastAsia" w:ascii="宋体" w:hAnsi="宋体" w:cs="宋体"/>
                <w:color w:val="000000"/>
                <w:kern w:val="0"/>
                <w:sz w:val="22"/>
              </w:rPr>
              <w:t>②项目绩效目标与实际工作内容是否具有相关性；</w:t>
            </w:r>
            <w:r>
              <w:rPr>
                <w:rFonts w:hint="eastAsia" w:ascii="宋体" w:hAnsi="宋体" w:cs="宋体"/>
                <w:color w:val="000000"/>
                <w:kern w:val="0"/>
                <w:sz w:val="22"/>
              </w:rPr>
              <w:br w:type="textWrapping"/>
            </w:r>
            <w:r>
              <w:rPr>
                <w:rFonts w:hint="eastAsia" w:ascii="宋体" w:hAnsi="宋体" w:cs="宋体"/>
                <w:color w:val="000000"/>
                <w:kern w:val="0"/>
                <w:sz w:val="22"/>
              </w:rPr>
              <w:t>③项目预期产出效益和效果是否符合正常的业绩水平；</w:t>
            </w:r>
          </w:p>
          <w:p w14:paraId="0E68DC79">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④是否与预算确定的项目投资额或资金量相匹配。</w:t>
            </w:r>
          </w:p>
        </w:tc>
      </w:tr>
      <w:tr w14:paraId="0F8E8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vAlign w:val="center"/>
          </w:tcPr>
          <w:p w14:paraId="19D1D85F">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　</w:t>
            </w:r>
          </w:p>
        </w:tc>
        <w:tc>
          <w:tcPr>
            <w:tcW w:w="1199" w:type="dxa"/>
            <w:shd w:val="clear" w:color="auto" w:fill="auto"/>
            <w:vAlign w:val="center"/>
          </w:tcPr>
          <w:p w14:paraId="55BC6524">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411" w:type="dxa"/>
            <w:shd w:val="clear" w:color="auto" w:fill="auto"/>
            <w:vAlign w:val="center"/>
          </w:tcPr>
          <w:p w14:paraId="5CE95099">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14:paraId="50E1FE88">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2789" w:type="dxa"/>
            <w:shd w:val="clear" w:color="auto" w:fill="auto"/>
            <w:vAlign w:val="center"/>
          </w:tcPr>
          <w:p w14:paraId="418757B0">
            <w:pPr>
              <w:widowControl/>
              <w:spacing w:line="0" w:lineRule="atLeast"/>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7341" w:type="dxa"/>
            <w:shd w:val="clear" w:color="auto" w:fill="auto"/>
            <w:vAlign w:val="center"/>
          </w:tcPr>
          <w:p w14:paraId="10B6E8E3">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①是否将项目绩效目标细化分解为具体的绩效指标；</w:t>
            </w:r>
            <w:r>
              <w:rPr>
                <w:rFonts w:hint="eastAsia" w:ascii="宋体" w:hAnsi="宋体" w:cs="宋体"/>
                <w:color w:val="000000"/>
                <w:kern w:val="0"/>
                <w:sz w:val="22"/>
              </w:rPr>
              <w:br w:type="textWrapping"/>
            </w:r>
            <w:r>
              <w:rPr>
                <w:rFonts w:hint="eastAsia" w:ascii="宋体" w:hAnsi="宋体" w:cs="宋体"/>
                <w:color w:val="000000"/>
                <w:kern w:val="0"/>
                <w:sz w:val="22"/>
              </w:rPr>
              <w:t>②是否通过清晰、可衡量的指标值予以体现；</w:t>
            </w:r>
            <w:r>
              <w:rPr>
                <w:rFonts w:hint="eastAsia" w:ascii="宋体" w:hAnsi="宋体" w:cs="宋体"/>
                <w:color w:val="000000"/>
                <w:kern w:val="0"/>
                <w:sz w:val="22"/>
              </w:rPr>
              <w:br w:type="textWrapping"/>
            </w:r>
            <w:r>
              <w:rPr>
                <w:rFonts w:hint="eastAsia" w:ascii="宋体" w:hAnsi="宋体" w:cs="宋体"/>
                <w:color w:val="000000"/>
                <w:kern w:val="0"/>
                <w:sz w:val="22"/>
              </w:rPr>
              <w:t>③是否与项目目标任务数或计划数相对应。</w:t>
            </w:r>
            <w:r>
              <w:rPr>
                <w:rFonts w:hint="eastAsia" w:ascii="宋体" w:hAnsi="宋体" w:cs="宋体"/>
                <w:color w:val="000000"/>
                <w:kern w:val="0"/>
                <w:sz w:val="22"/>
              </w:rPr>
              <w:br w:type="textWrapping"/>
            </w:r>
          </w:p>
        </w:tc>
      </w:tr>
      <w:tr w14:paraId="3D46E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8" w:hRule="atLeast"/>
          <w:jc w:val="center"/>
        </w:trPr>
        <w:tc>
          <w:tcPr>
            <w:tcW w:w="861" w:type="dxa"/>
            <w:vMerge w:val="continue"/>
            <w:shd w:val="clear" w:color="auto" w:fill="auto"/>
            <w:vAlign w:val="center"/>
          </w:tcPr>
          <w:p w14:paraId="7D115D37">
            <w:pPr>
              <w:spacing w:line="0" w:lineRule="atLeast"/>
              <w:jc w:val="center"/>
              <w:rPr>
                <w:rFonts w:ascii="宋体" w:hAnsi="宋体" w:cs="宋体"/>
                <w:color w:val="000000"/>
                <w:kern w:val="0"/>
                <w:sz w:val="22"/>
              </w:rPr>
            </w:pPr>
          </w:p>
        </w:tc>
        <w:tc>
          <w:tcPr>
            <w:tcW w:w="1199" w:type="dxa"/>
            <w:vMerge w:val="restart"/>
            <w:shd w:val="clear" w:color="auto" w:fill="auto"/>
            <w:vAlign w:val="center"/>
          </w:tcPr>
          <w:p w14:paraId="3ADA9E1C">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14:paraId="095C5F46">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411" w:type="dxa"/>
            <w:shd w:val="clear" w:color="auto" w:fill="auto"/>
            <w:vAlign w:val="center"/>
          </w:tcPr>
          <w:p w14:paraId="481C95B4">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14:paraId="45055AC3">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2789" w:type="dxa"/>
            <w:shd w:val="clear" w:color="auto" w:fill="auto"/>
            <w:vAlign w:val="center"/>
          </w:tcPr>
          <w:p w14:paraId="1A940268">
            <w:pPr>
              <w:widowControl/>
              <w:spacing w:line="0" w:lineRule="atLeast"/>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7341" w:type="dxa"/>
            <w:shd w:val="clear" w:color="auto" w:fill="auto"/>
            <w:vAlign w:val="center"/>
          </w:tcPr>
          <w:p w14:paraId="27EF62DF">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①预算编制是否经过科学论证；</w:t>
            </w:r>
            <w:r>
              <w:rPr>
                <w:rFonts w:hint="eastAsia" w:ascii="宋体" w:hAnsi="宋体" w:cs="宋体"/>
                <w:color w:val="000000"/>
                <w:kern w:val="0"/>
                <w:sz w:val="22"/>
              </w:rPr>
              <w:br w:type="textWrapping"/>
            </w:r>
            <w:r>
              <w:rPr>
                <w:rFonts w:hint="eastAsia" w:ascii="宋体" w:hAnsi="宋体" w:cs="宋体"/>
                <w:color w:val="000000"/>
                <w:kern w:val="0"/>
                <w:sz w:val="22"/>
              </w:rPr>
              <w:t>②预算内容与项目内容是否匹配；</w:t>
            </w:r>
            <w:r>
              <w:rPr>
                <w:rFonts w:hint="eastAsia" w:ascii="宋体" w:hAnsi="宋体" w:cs="宋体"/>
                <w:color w:val="000000"/>
                <w:kern w:val="0"/>
                <w:sz w:val="22"/>
              </w:rPr>
              <w:br w:type="textWrapping"/>
            </w:r>
            <w:r>
              <w:rPr>
                <w:rFonts w:hint="eastAsia" w:ascii="宋体" w:hAnsi="宋体" w:cs="宋体"/>
                <w:color w:val="000000"/>
                <w:kern w:val="0"/>
                <w:sz w:val="22"/>
              </w:rPr>
              <w:t>③预算额度测算依据是否充分，是否按照标准编制；</w:t>
            </w:r>
            <w:r>
              <w:rPr>
                <w:rFonts w:hint="eastAsia" w:ascii="宋体" w:hAnsi="宋体" w:cs="宋体"/>
                <w:color w:val="000000"/>
                <w:kern w:val="0"/>
                <w:sz w:val="22"/>
              </w:rPr>
              <w:br w:type="textWrapping"/>
            </w:r>
            <w:r>
              <w:rPr>
                <w:rFonts w:hint="eastAsia" w:ascii="宋体" w:hAnsi="宋体" w:cs="宋体"/>
                <w:color w:val="000000"/>
                <w:kern w:val="0"/>
                <w:sz w:val="22"/>
              </w:rPr>
              <w:t>④预算确定的项目投资额或资金量是否与工作任务相匹配。</w:t>
            </w:r>
          </w:p>
        </w:tc>
      </w:tr>
      <w:tr w14:paraId="3595B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2" w:hRule="atLeast"/>
          <w:jc w:val="center"/>
        </w:trPr>
        <w:tc>
          <w:tcPr>
            <w:tcW w:w="861" w:type="dxa"/>
            <w:vMerge w:val="continue"/>
            <w:shd w:val="clear" w:color="auto" w:fill="auto"/>
            <w:vAlign w:val="center"/>
          </w:tcPr>
          <w:p w14:paraId="6C50E6DF">
            <w:pPr>
              <w:widowControl/>
              <w:spacing w:line="0" w:lineRule="atLeast"/>
              <w:jc w:val="center"/>
              <w:rPr>
                <w:rFonts w:ascii="宋体" w:hAnsi="宋体" w:cs="宋体"/>
                <w:color w:val="000000"/>
                <w:kern w:val="0"/>
                <w:sz w:val="22"/>
              </w:rPr>
            </w:pPr>
          </w:p>
        </w:tc>
        <w:tc>
          <w:tcPr>
            <w:tcW w:w="1199" w:type="dxa"/>
            <w:vMerge w:val="continue"/>
            <w:shd w:val="clear" w:color="auto" w:fill="auto"/>
            <w:vAlign w:val="center"/>
          </w:tcPr>
          <w:p w14:paraId="4531C0E7">
            <w:pPr>
              <w:widowControl/>
              <w:spacing w:line="0" w:lineRule="atLeast"/>
              <w:jc w:val="center"/>
              <w:rPr>
                <w:rFonts w:ascii="宋体" w:hAnsi="宋体" w:cs="宋体"/>
                <w:color w:val="000000"/>
                <w:kern w:val="0"/>
                <w:sz w:val="22"/>
              </w:rPr>
            </w:pPr>
          </w:p>
        </w:tc>
        <w:tc>
          <w:tcPr>
            <w:tcW w:w="1411" w:type="dxa"/>
            <w:shd w:val="clear" w:color="auto" w:fill="auto"/>
            <w:vAlign w:val="center"/>
          </w:tcPr>
          <w:p w14:paraId="1F81A6FE">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14:paraId="4E14E5F7">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2789" w:type="dxa"/>
            <w:shd w:val="clear" w:color="auto" w:fill="auto"/>
            <w:vAlign w:val="center"/>
          </w:tcPr>
          <w:p w14:paraId="55B8A8A2">
            <w:pPr>
              <w:widowControl/>
              <w:spacing w:line="0" w:lineRule="atLeast"/>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7341" w:type="dxa"/>
            <w:shd w:val="clear" w:color="auto" w:fill="auto"/>
            <w:vAlign w:val="center"/>
          </w:tcPr>
          <w:p w14:paraId="686DFCF8">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①预算资金分配依据是否充分；</w:t>
            </w:r>
            <w:r>
              <w:rPr>
                <w:rFonts w:hint="eastAsia" w:ascii="宋体" w:hAnsi="宋体" w:cs="宋体"/>
                <w:color w:val="000000"/>
                <w:kern w:val="0"/>
                <w:sz w:val="22"/>
              </w:rPr>
              <w:br w:type="textWrapping"/>
            </w:r>
            <w:r>
              <w:rPr>
                <w:rFonts w:hint="eastAsia" w:ascii="宋体" w:hAnsi="宋体" w:cs="宋体"/>
                <w:color w:val="000000"/>
                <w:kern w:val="0"/>
                <w:sz w:val="22"/>
              </w:rPr>
              <w:t>②资金分配额度是否合理，与项目单位或地方实际是否相适应。</w:t>
            </w:r>
          </w:p>
        </w:tc>
      </w:tr>
      <w:tr w14:paraId="67C36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8" w:hRule="atLeast"/>
          <w:jc w:val="center"/>
        </w:trPr>
        <w:tc>
          <w:tcPr>
            <w:tcW w:w="861" w:type="dxa"/>
            <w:vMerge w:val="restart"/>
            <w:shd w:val="clear" w:color="auto" w:fill="auto"/>
            <w:vAlign w:val="center"/>
          </w:tcPr>
          <w:p w14:paraId="6A97CEF0">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199" w:type="dxa"/>
            <w:vMerge w:val="restart"/>
            <w:shd w:val="clear" w:color="auto" w:fill="auto"/>
            <w:vAlign w:val="center"/>
          </w:tcPr>
          <w:p w14:paraId="6EB9CFBA">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411" w:type="dxa"/>
            <w:shd w:val="clear" w:color="auto" w:fill="auto"/>
            <w:vAlign w:val="center"/>
          </w:tcPr>
          <w:p w14:paraId="105D9108">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2789" w:type="dxa"/>
            <w:shd w:val="clear" w:color="auto" w:fill="auto"/>
            <w:vAlign w:val="center"/>
          </w:tcPr>
          <w:p w14:paraId="48CD7FBC">
            <w:pPr>
              <w:widowControl/>
              <w:spacing w:line="0" w:lineRule="atLeast"/>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7341" w:type="dxa"/>
            <w:shd w:val="clear" w:color="auto" w:fill="auto"/>
            <w:vAlign w:val="center"/>
          </w:tcPr>
          <w:p w14:paraId="5A3481D8">
            <w:pPr>
              <w:widowControl/>
              <w:spacing w:line="0" w:lineRule="atLeast"/>
              <w:rPr>
                <w:rFonts w:ascii="宋体" w:hAnsi="宋体" w:cs="宋体"/>
                <w:color w:val="000000"/>
                <w:kern w:val="0"/>
                <w:sz w:val="22"/>
              </w:rPr>
            </w:pPr>
            <w:r>
              <w:rPr>
                <w:rFonts w:hint="eastAsia" w:ascii="宋体" w:hAnsi="宋体" w:cs="宋体"/>
                <w:color w:val="000000"/>
                <w:kern w:val="0"/>
                <w:sz w:val="22"/>
              </w:rPr>
              <w:t>资金到位率=（实际到位资金/预算资金）×100%。</w:t>
            </w:r>
          </w:p>
          <w:p w14:paraId="14E70D13">
            <w:pPr>
              <w:widowControl/>
              <w:spacing w:line="0" w:lineRule="atLeast"/>
              <w:rPr>
                <w:rFonts w:ascii="宋体" w:hAnsi="宋体" w:cs="宋体"/>
                <w:color w:val="000000"/>
                <w:kern w:val="0"/>
                <w:sz w:val="22"/>
              </w:rPr>
            </w:pPr>
            <w:r>
              <w:rPr>
                <w:rFonts w:hint="eastAsia" w:ascii="宋体" w:hAnsi="宋体" w:cs="宋体"/>
                <w:color w:val="000000"/>
                <w:kern w:val="0"/>
                <w:sz w:val="22"/>
              </w:rPr>
              <w:t>实际到位资金：一定时期（本年度或项目期）内落实到具体项目的资金。</w:t>
            </w:r>
          </w:p>
          <w:p w14:paraId="70B5AA09">
            <w:pPr>
              <w:widowControl/>
              <w:spacing w:line="0" w:lineRule="atLeast"/>
              <w:rPr>
                <w:rFonts w:ascii="宋体" w:hAnsi="宋体" w:cs="宋体"/>
                <w:color w:val="000000"/>
                <w:kern w:val="0"/>
                <w:sz w:val="22"/>
              </w:rPr>
            </w:pPr>
            <w:r>
              <w:rPr>
                <w:rFonts w:hint="eastAsia" w:ascii="宋体" w:hAnsi="宋体" w:cs="宋体"/>
                <w:color w:val="000000"/>
                <w:kern w:val="0"/>
                <w:sz w:val="22"/>
              </w:rPr>
              <w:t>预算资金：一定时期（本年度或项目期）内预算安排到具体项目的资金。</w:t>
            </w:r>
          </w:p>
        </w:tc>
      </w:tr>
      <w:tr w14:paraId="22827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6" w:hRule="atLeast"/>
          <w:jc w:val="center"/>
        </w:trPr>
        <w:tc>
          <w:tcPr>
            <w:tcW w:w="861" w:type="dxa"/>
            <w:vMerge w:val="continue"/>
            <w:shd w:val="clear" w:color="auto" w:fill="auto"/>
            <w:vAlign w:val="center"/>
          </w:tcPr>
          <w:p w14:paraId="147D95AB">
            <w:pPr>
              <w:spacing w:line="0" w:lineRule="atLeast"/>
              <w:jc w:val="center"/>
              <w:rPr>
                <w:rFonts w:ascii="宋体" w:hAnsi="宋体" w:cs="宋体"/>
                <w:color w:val="000000"/>
                <w:kern w:val="0"/>
                <w:sz w:val="22"/>
              </w:rPr>
            </w:pPr>
          </w:p>
        </w:tc>
        <w:tc>
          <w:tcPr>
            <w:tcW w:w="1199" w:type="dxa"/>
            <w:vMerge w:val="continue"/>
            <w:shd w:val="clear" w:color="auto" w:fill="auto"/>
            <w:vAlign w:val="center"/>
          </w:tcPr>
          <w:p w14:paraId="6B52353C">
            <w:pPr>
              <w:spacing w:line="0" w:lineRule="atLeast"/>
              <w:jc w:val="center"/>
              <w:rPr>
                <w:rFonts w:ascii="宋体" w:hAnsi="宋体" w:cs="宋体"/>
                <w:color w:val="000000"/>
                <w:kern w:val="0"/>
                <w:sz w:val="22"/>
              </w:rPr>
            </w:pPr>
          </w:p>
        </w:tc>
        <w:tc>
          <w:tcPr>
            <w:tcW w:w="1411" w:type="dxa"/>
            <w:shd w:val="clear" w:color="auto" w:fill="auto"/>
            <w:vAlign w:val="center"/>
          </w:tcPr>
          <w:p w14:paraId="089111F9">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2789" w:type="dxa"/>
            <w:shd w:val="clear" w:color="auto" w:fill="auto"/>
            <w:vAlign w:val="center"/>
          </w:tcPr>
          <w:p w14:paraId="3F516F59">
            <w:pPr>
              <w:widowControl/>
              <w:spacing w:line="0" w:lineRule="atLeast"/>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7341" w:type="dxa"/>
            <w:shd w:val="clear" w:color="auto" w:fill="auto"/>
            <w:vAlign w:val="center"/>
          </w:tcPr>
          <w:p w14:paraId="34A05CBF">
            <w:pPr>
              <w:widowControl/>
              <w:spacing w:line="0" w:lineRule="atLeast"/>
              <w:rPr>
                <w:rFonts w:ascii="宋体" w:hAnsi="宋体" w:cs="宋体"/>
                <w:color w:val="000000"/>
                <w:kern w:val="0"/>
                <w:sz w:val="22"/>
              </w:rPr>
            </w:pPr>
            <w:r>
              <w:rPr>
                <w:rFonts w:hint="eastAsia" w:ascii="宋体" w:hAnsi="宋体" w:cs="宋体"/>
                <w:color w:val="000000"/>
                <w:kern w:val="0"/>
                <w:sz w:val="22"/>
              </w:rPr>
              <w:t>预算执行率=（实际支出资金/实际到位资金）×100%。</w:t>
            </w:r>
            <w:r>
              <w:rPr>
                <w:rFonts w:hint="eastAsia" w:ascii="宋体" w:hAnsi="宋体" w:cs="宋体"/>
                <w:color w:val="000000"/>
                <w:kern w:val="0"/>
                <w:sz w:val="22"/>
              </w:rPr>
              <w:br w:type="textWrapping"/>
            </w:r>
            <w:r>
              <w:rPr>
                <w:rFonts w:hint="eastAsia" w:ascii="宋体" w:hAnsi="宋体" w:cs="宋体"/>
                <w:color w:val="000000"/>
                <w:kern w:val="0"/>
                <w:sz w:val="22"/>
              </w:rPr>
              <w:t>实际支出资金：一定时期（本年度或项目期）内项目实际拨付的资金。</w:t>
            </w:r>
          </w:p>
        </w:tc>
      </w:tr>
      <w:tr w14:paraId="08994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auto"/>
            <w:vAlign w:val="center"/>
          </w:tcPr>
          <w:p w14:paraId="479F55C0">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　</w:t>
            </w:r>
          </w:p>
          <w:p w14:paraId="3EC2361A">
            <w:pPr>
              <w:spacing w:line="0" w:lineRule="atLeast"/>
              <w:jc w:val="center"/>
              <w:rPr>
                <w:rFonts w:ascii="宋体" w:hAnsi="宋体" w:cs="宋体"/>
                <w:color w:val="000000"/>
                <w:kern w:val="0"/>
                <w:sz w:val="22"/>
              </w:rPr>
            </w:pPr>
            <w:r>
              <w:rPr>
                <w:rFonts w:hint="eastAsia" w:ascii="宋体" w:hAnsi="宋体" w:cs="宋体"/>
                <w:color w:val="000000"/>
                <w:kern w:val="0"/>
                <w:sz w:val="22"/>
              </w:rPr>
              <w:t>过程　</w:t>
            </w:r>
          </w:p>
        </w:tc>
        <w:tc>
          <w:tcPr>
            <w:tcW w:w="1199" w:type="dxa"/>
            <w:shd w:val="clear" w:color="auto" w:fill="auto"/>
            <w:vAlign w:val="center"/>
          </w:tcPr>
          <w:p w14:paraId="2CABC4FB">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411" w:type="dxa"/>
            <w:shd w:val="clear" w:color="auto" w:fill="auto"/>
            <w:vAlign w:val="center"/>
          </w:tcPr>
          <w:p w14:paraId="7666DC60">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14:paraId="19781FAD">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2789" w:type="dxa"/>
            <w:shd w:val="clear" w:color="auto" w:fill="auto"/>
            <w:vAlign w:val="center"/>
          </w:tcPr>
          <w:p w14:paraId="1C82ED53">
            <w:pPr>
              <w:widowControl/>
              <w:spacing w:line="0" w:lineRule="atLeast"/>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7341" w:type="dxa"/>
            <w:shd w:val="clear" w:color="auto" w:fill="auto"/>
            <w:vAlign w:val="center"/>
          </w:tcPr>
          <w:p w14:paraId="3A3F8D7E">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①是否符合国家财经法规和财务管理制度以及有关专项资金管理办法的规定；</w:t>
            </w:r>
            <w:r>
              <w:rPr>
                <w:rFonts w:hint="eastAsia" w:ascii="宋体" w:hAnsi="宋体" w:cs="宋体"/>
                <w:color w:val="000000"/>
                <w:kern w:val="0"/>
                <w:sz w:val="22"/>
              </w:rPr>
              <w:br w:type="textWrapping"/>
            </w:r>
            <w:r>
              <w:rPr>
                <w:rFonts w:hint="eastAsia" w:ascii="宋体" w:hAnsi="宋体" w:cs="宋体"/>
                <w:color w:val="000000"/>
                <w:kern w:val="0"/>
                <w:sz w:val="22"/>
              </w:rPr>
              <w:t>②资金的拨付是否有完整的审批程序和手续；</w:t>
            </w:r>
            <w:r>
              <w:rPr>
                <w:rFonts w:hint="eastAsia" w:ascii="宋体" w:hAnsi="宋体" w:cs="宋体"/>
                <w:color w:val="000000"/>
                <w:kern w:val="0"/>
                <w:sz w:val="22"/>
              </w:rPr>
              <w:br w:type="textWrapping"/>
            </w:r>
            <w:r>
              <w:rPr>
                <w:rFonts w:hint="eastAsia" w:ascii="宋体" w:hAnsi="宋体" w:cs="宋体"/>
                <w:color w:val="000000"/>
                <w:kern w:val="0"/>
                <w:sz w:val="22"/>
              </w:rPr>
              <w:t>③是否符合项目预算批复或合同规定的用途；</w:t>
            </w:r>
            <w:r>
              <w:rPr>
                <w:rFonts w:hint="eastAsia" w:ascii="宋体" w:hAnsi="宋体" w:cs="宋体"/>
                <w:color w:val="000000"/>
                <w:kern w:val="0"/>
                <w:sz w:val="22"/>
              </w:rPr>
              <w:br w:type="textWrapping"/>
            </w:r>
            <w:r>
              <w:rPr>
                <w:rFonts w:hint="eastAsia" w:ascii="宋体" w:hAnsi="宋体" w:cs="宋体"/>
                <w:color w:val="000000"/>
                <w:kern w:val="0"/>
                <w:sz w:val="22"/>
              </w:rPr>
              <w:t>④是否存在截留、挤占、挪用、虚列支出等情况。</w:t>
            </w:r>
          </w:p>
        </w:tc>
      </w:tr>
      <w:tr w14:paraId="18740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86" w:hRule="atLeast"/>
          <w:jc w:val="center"/>
        </w:trPr>
        <w:tc>
          <w:tcPr>
            <w:tcW w:w="861" w:type="dxa"/>
            <w:vMerge w:val="continue"/>
            <w:shd w:val="clear" w:color="auto" w:fill="auto"/>
            <w:vAlign w:val="center"/>
          </w:tcPr>
          <w:p w14:paraId="0289F562">
            <w:pPr>
              <w:spacing w:line="0" w:lineRule="atLeast"/>
              <w:jc w:val="center"/>
              <w:rPr>
                <w:rFonts w:ascii="宋体" w:hAnsi="宋体" w:cs="宋体"/>
                <w:color w:val="000000"/>
                <w:kern w:val="0"/>
                <w:sz w:val="22"/>
              </w:rPr>
            </w:pPr>
          </w:p>
        </w:tc>
        <w:tc>
          <w:tcPr>
            <w:tcW w:w="1199" w:type="dxa"/>
            <w:vMerge w:val="restart"/>
            <w:shd w:val="clear" w:color="auto" w:fill="auto"/>
            <w:vAlign w:val="center"/>
          </w:tcPr>
          <w:p w14:paraId="013CF7A0">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14:paraId="5D9AED0F">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411" w:type="dxa"/>
            <w:shd w:val="clear" w:color="auto" w:fill="auto"/>
            <w:vAlign w:val="center"/>
          </w:tcPr>
          <w:p w14:paraId="625AB64C">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14:paraId="19C086C9">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2789" w:type="dxa"/>
            <w:shd w:val="clear" w:color="auto" w:fill="auto"/>
            <w:vAlign w:val="center"/>
          </w:tcPr>
          <w:p w14:paraId="786F6918">
            <w:pPr>
              <w:widowControl/>
              <w:spacing w:line="0" w:lineRule="atLeast"/>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7341" w:type="dxa"/>
            <w:shd w:val="clear" w:color="auto" w:fill="auto"/>
            <w:vAlign w:val="center"/>
          </w:tcPr>
          <w:p w14:paraId="0078D885">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①是否已制定或具有相应的财务和业务管理制度；</w:t>
            </w:r>
            <w:r>
              <w:rPr>
                <w:rFonts w:hint="eastAsia" w:ascii="宋体" w:hAnsi="宋体" w:cs="宋体"/>
                <w:color w:val="000000"/>
                <w:kern w:val="0"/>
                <w:sz w:val="22"/>
              </w:rPr>
              <w:br w:type="textWrapping"/>
            </w:r>
            <w:r>
              <w:rPr>
                <w:rFonts w:hint="eastAsia" w:ascii="宋体" w:hAnsi="宋体" w:cs="宋体"/>
                <w:color w:val="000000"/>
                <w:kern w:val="0"/>
                <w:sz w:val="22"/>
              </w:rPr>
              <w:t>②财务和业务管理制度是否合法、合规、完整。</w:t>
            </w:r>
          </w:p>
        </w:tc>
      </w:tr>
      <w:tr w14:paraId="5A075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auto"/>
            <w:vAlign w:val="center"/>
          </w:tcPr>
          <w:p w14:paraId="3A58FC55">
            <w:pPr>
              <w:widowControl/>
              <w:spacing w:line="0" w:lineRule="atLeast"/>
              <w:jc w:val="center"/>
              <w:rPr>
                <w:rFonts w:ascii="宋体" w:hAnsi="宋体" w:cs="宋体"/>
                <w:color w:val="000000"/>
                <w:kern w:val="0"/>
                <w:sz w:val="22"/>
              </w:rPr>
            </w:pPr>
          </w:p>
        </w:tc>
        <w:tc>
          <w:tcPr>
            <w:tcW w:w="1199" w:type="dxa"/>
            <w:vMerge w:val="continue"/>
            <w:shd w:val="clear" w:color="auto" w:fill="auto"/>
            <w:vAlign w:val="center"/>
          </w:tcPr>
          <w:p w14:paraId="18435A8C">
            <w:pPr>
              <w:widowControl/>
              <w:spacing w:line="0" w:lineRule="atLeast"/>
              <w:jc w:val="center"/>
              <w:rPr>
                <w:rFonts w:ascii="宋体" w:hAnsi="宋体" w:cs="宋体"/>
                <w:color w:val="000000"/>
                <w:kern w:val="0"/>
                <w:sz w:val="22"/>
              </w:rPr>
            </w:pPr>
          </w:p>
        </w:tc>
        <w:tc>
          <w:tcPr>
            <w:tcW w:w="1411" w:type="dxa"/>
            <w:shd w:val="clear" w:color="auto" w:fill="auto"/>
            <w:vAlign w:val="center"/>
          </w:tcPr>
          <w:p w14:paraId="77A55669">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14:paraId="43256A18">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2789" w:type="dxa"/>
            <w:shd w:val="clear" w:color="auto" w:fill="auto"/>
            <w:vAlign w:val="center"/>
          </w:tcPr>
          <w:p w14:paraId="2783BB9A">
            <w:pPr>
              <w:widowControl/>
              <w:spacing w:line="0" w:lineRule="atLeast"/>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7341" w:type="dxa"/>
            <w:shd w:val="clear" w:color="auto" w:fill="auto"/>
            <w:vAlign w:val="center"/>
          </w:tcPr>
          <w:p w14:paraId="1E2EE104">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①是否遵守相关法律法规和相关管理规定；</w:t>
            </w:r>
            <w:r>
              <w:rPr>
                <w:rFonts w:hint="eastAsia" w:ascii="宋体" w:hAnsi="宋体" w:cs="宋体"/>
                <w:color w:val="000000"/>
                <w:kern w:val="0"/>
                <w:sz w:val="22"/>
              </w:rPr>
              <w:br w:type="textWrapping"/>
            </w:r>
            <w:r>
              <w:rPr>
                <w:rFonts w:hint="eastAsia" w:ascii="宋体" w:hAnsi="宋体" w:cs="宋体"/>
                <w:color w:val="000000"/>
                <w:kern w:val="0"/>
                <w:sz w:val="22"/>
              </w:rPr>
              <w:t>②项目调整及支出调整手续是否完备；</w:t>
            </w:r>
            <w:r>
              <w:rPr>
                <w:rFonts w:hint="eastAsia" w:ascii="宋体" w:hAnsi="宋体" w:cs="宋体"/>
                <w:color w:val="000000"/>
                <w:kern w:val="0"/>
                <w:sz w:val="22"/>
              </w:rPr>
              <w:br w:type="textWrapping"/>
            </w:r>
            <w:r>
              <w:rPr>
                <w:rFonts w:hint="eastAsia" w:ascii="宋体" w:hAnsi="宋体" w:cs="宋体"/>
                <w:color w:val="000000"/>
                <w:kern w:val="0"/>
                <w:sz w:val="22"/>
              </w:rPr>
              <w:t>③项目合同书、验收报告、技术鉴定等资料是否齐全并及时归档；</w:t>
            </w:r>
            <w:r>
              <w:rPr>
                <w:rFonts w:hint="eastAsia" w:ascii="宋体" w:hAnsi="宋体" w:cs="宋体"/>
                <w:color w:val="000000"/>
                <w:kern w:val="0"/>
                <w:sz w:val="22"/>
              </w:rPr>
              <w:br w:type="textWrapping"/>
            </w:r>
            <w:r>
              <w:rPr>
                <w:rFonts w:hint="eastAsia" w:ascii="宋体" w:hAnsi="宋体" w:cs="宋体"/>
                <w:color w:val="000000"/>
                <w:kern w:val="0"/>
                <w:sz w:val="22"/>
              </w:rPr>
              <w:t>④项目实施的人员条件、场地设备、信息支撑等是否落实到位。</w:t>
            </w:r>
          </w:p>
        </w:tc>
      </w:tr>
      <w:tr w14:paraId="1E9C7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auto"/>
            <w:vAlign w:val="center"/>
          </w:tcPr>
          <w:p w14:paraId="141E32F4">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199" w:type="dxa"/>
            <w:shd w:val="clear" w:color="auto" w:fill="auto"/>
            <w:vAlign w:val="center"/>
          </w:tcPr>
          <w:p w14:paraId="4A07DC05">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411" w:type="dxa"/>
            <w:shd w:val="clear" w:color="auto" w:fill="auto"/>
            <w:vAlign w:val="center"/>
          </w:tcPr>
          <w:p w14:paraId="124C74C4">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2789" w:type="dxa"/>
            <w:shd w:val="clear" w:color="auto" w:fill="auto"/>
            <w:vAlign w:val="center"/>
          </w:tcPr>
          <w:p w14:paraId="52E6DBB7">
            <w:pPr>
              <w:widowControl/>
              <w:spacing w:line="0" w:lineRule="atLeast"/>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7341" w:type="dxa"/>
            <w:shd w:val="clear" w:color="auto" w:fill="auto"/>
            <w:vAlign w:val="center"/>
          </w:tcPr>
          <w:p w14:paraId="4CB06007">
            <w:pPr>
              <w:widowControl/>
              <w:spacing w:line="0" w:lineRule="atLeast"/>
              <w:rPr>
                <w:rFonts w:ascii="宋体" w:hAnsi="宋体" w:cs="宋体"/>
                <w:color w:val="000000"/>
                <w:kern w:val="0"/>
                <w:sz w:val="22"/>
              </w:rPr>
            </w:pPr>
            <w:r>
              <w:rPr>
                <w:rFonts w:hint="eastAsia" w:ascii="宋体" w:hAnsi="宋体" w:cs="宋体"/>
                <w:color w:val="000000"/>
                <w:kern w:val="0"/>
                <w:sz w:val="22"/>
              </w:rPr>
              <w:t>实际完成率=（实际产出数/计划产出数）×100%。</w:t>
            </w:r>
            <w:r>
              <w:rPr>
                <w:rFonts w:hint="eastAsia" w:ascii="宋体" w:hAnsi="宋体" w:cs="宋体"/>
                <w:color w:val="000000"/>
                <w:kern w:val="0"/>
                <w:sz w:val="22"/>
              </w:rPr>
              <w:br w:type="textWrapping"/>
            </w:r>
            <w:r>
              <w:rPr>
                <w:rFonts w:hint="eastAsia" w:ascii="宋体" w:hAnsi="宋体" w:cs="宋体"/>
                <w:color w:val="000000"/>
                <w:kern w:val="0"/>
                <w:sz w:val="22"/>
              </w:rPr>
              <w:t>实际产出数：一定时期（本年度或项目期）内项目实际产出的产品或提供的服务数量。</w:t>
            </w:r>
            <w:r>
              <w:rPr>
                <w:rFonts w:hint="eastAsia" w:ascii="宋体" w:hAnsi="宋体" w:cs="宋体"/>
                <w:color w:val="000000"/>
                <w:kern w:val="0"/>
                <w:sz w:val="22"/>
              </w:rPr>
              <w:br w:type="textWrapping"/>
            </w:r>
            <w:r>
              <w:rPr>
                <w:rFonts w:hint="eastAsia" w:ascii="宋体" w:hAnsi="宋体" w:cs="宋体"/>
                <w:color w:val="000000"/>
                <w:kern w:val="0"/>
                <w:sz w:val="22"/>
              </w:rPr>
              <w:t>计划产出数：项目绩效目标确定的在一定时期（本年度或项目期）内计划产出的产品或提供的服务数量。</w:t>
            </w:r>
          </w:p>
        </w:tc>
      </w:tr>
      <w:tr w14:paraId="54FB8A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auto"/>
            <w:vAlign w:val="center"/>
          </w:tcPr>
          <w:p w14:paraId="703F81E6">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199" w:type="dxa"/>
            <w:shd w:val="clear" w:color="auto" w:fill="auto"/>
            <w:vAlign w:val="center"/>
          </w:tcPr>
          <w:p w14:paraId="638DF012">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411" w:type="dxa"/>
            <w:shd w:val="clear" w:color="auto" w:fill="auto"/>
            <w:vAlign w:val="center"/>
          </w:tcPr>
          <w:p w14:paraId="05CEBDC7">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2789" w:type="dxa"/>
            <w:shd w:val="clear" w:color="auto" w:fill="auto"/>
            <w:vAlign w:val="center"/>
          </w:tcPr>
          <w:p w14:paraId="651B89DF">
            <w:pPr>
              <w:widowControl/>
              <w:spacing w:line="0" w:lineRule="atLeast"/>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7341" w:type="dxa"/>
            <w:shd w:val="clear" w:color="auto" w:fill="auto"/>
            <w:vAlign w:val="center"/>
          </w:tcPr>
          <w:p w14:paraId="0197EF9C">
            <w:pPr>
              <w:widowControl/>
              <w:spacing w:line="0" w:lineRule="atLeast"/>
              <w:rPr>
                <w:rFonts w:ascii="宋体" w:hAnsi="宋体" w:cs="宋体"/>
                <w:color w:val="000000"/>
                <w:kern w:val="0"/>
                <w:sz w:val="22"/>
              </w:rPr>
            </w:pPr>
            <w:r>
              <w:rPr>
                <w:rFonts w:hint="eastAsia" w:ascii="宋体" w:hAnsi="宋体" w:cs="宋体"/>
                <w:color w:val="000000"/>
                <w:kern w:val="0"/>
                <w:sz w:val="22"/>
              </w:rPr>
              <w:t>质量达标率=（质量达标产出数/实际产出数）×100%。</w:t>
            </w:r>
          </w:p>
          <w:p w14:paraId="456DE8D0">
            <w:pPr>
              <w:widowControl/>
              <w:spacing w:line="0" w:lineRule="atLeast"/>
              <w:rPr>
                <w:rFonts w:ascii="宋体" w:hAnsi="宋体" w:cs="宋体"/>
                <w:color w:val="000000"/>
                <w:kern w:val="0"/>
                <w:sz w:val="22"/>
              </w:rPr>
            </w:pPr>
            <w:r>
              <w:rPr>
                <w:rFonts w:hint="eastAsia" w:ascii="宋体" w:hAnsi="宋体" w:cs="宋体"/>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4C63D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14:paraId="21A32EB0">
            <w:pPr>
              <w:spacing w:line="0" w:lineRule="atLeast"/>
              <w:jc w:val="center"/>
              <w:rPr>
                <w:rFonts w:ascii="宋体" w:hAnsi="宋体" w:cs="宋体"/>
                <w:color w:val="000000"/>
                <w:kern w:val="0"/>
                <w:sz w:val="22"/>
              </w:rPr>
            </w:pPr>
          </w:p>
        </w:tc>
        <w:tc>
          <w:tcPr>
            <w:tcW w:w="1199" w:type="dxa"/>
            <w:shd w:val="clear" w:color="auto" w:fill="auto"/>
            <w:vAlign w:val="center"/>
          </w:tcPr>
          <w:p w14:paraId="406BC4F4">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411" w:type="dxa"/>
            <w:shd w:val="clear" w:color="auto" w:fill="auto"/>
            <w:vAlign w:val="center"/>
          </w:tcPr>
          <w:p w14:paraId="68875E88">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2789" w:type="dxa"/>
            <w:shd w:val="clear" w:color="auto" w:fill="auto"/>
            <w:vAlign w:val="center"/>
          </w:tcPr>
          <w:p w14:paraId="3204AAC1">
            <w:pPr>
              <w:widowControl/>
              <w:spacing w:line="0" w:lineRule="atLeast"/>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7341" w:type="dxa"/>
            <w:shd w:val="clear" w:color="auto" w:fill="auto"/>
            <w:vAlign w:val="center"/>
          </w:tcPr>
          <w:p w14:paraId="599FE47E">
            <w:pPr>
              <w:widowControl/>
              <w:spacing w:line="0" w:lineRule="atLeast"/>
              <w:rPr>
                <w:rFonts w:ascii="宋体" w:hAnsi="宋体" w:cs="宋体"/>
                <w:color w:val="000000"/>
                <w:kern w:val="0"/>
                <w:sz w:val="22"/>
              </w:rPr>
            </w:pPr>
            <w:r>
              <w:rPr>
                <w:rFonts w:hint="eastAsia" w:ascii="宋体" w:hAnsi="宋体" w:cs="宋体"/>
                <w:color w:val="000000"/>
                <w:kern w:val="0"/>
                <w:sz w:val="22"/>
              </w:rPr>
              <w:t>实际完成时间：项目实施单位完成该项目实际所耗用的时间。</w:t>
            </w:r>
            <w:r>
              <w:rPr>
                <w:rFonts w:hint="eastAsia" w:ascii="宋体" w:hAnsi="宋体" w:cs="宋体"/>
                <w:color w:val="000000"/>
                <w:kern w:val="0"/>
                <w:sz w:val="22"/>
              </w:rPr>
              <w:br w:type="textWrapping"/>
            </w:r>
            <w:r>
              <w:rPr>
                <w:rFonts w:hint="eastAsia" w:ascii="宋体" w:hAnsi="宋体" w:cs="宋体"/>
                <w:color w:val="000000"/>
                <w:kern w:val="0"/>
                <w:sz w:val="22"/>
              </w:rPr>
              <w:t>计划完成时间：按照项目实施计划或相关规定完成该项目所需的时间。</w:t>
            </w:r>
          </w:p>
        </w:tc>
      </w:tr>
      <w:tr w14:paraId="1377A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2125E320">
            <w:pPr>
              <w:widowControl/>
              <w:spacing w:line="0" w:lineRule="atLeast"/>
              <w:jc w:val="center"/>
              <w:rPr>
                <w:rFonts w:ascii="宋体" w:hAnsi="宋体" w:cs="宋体"/>
                <w:color w:val="000000"/>
                <w:kern w:val="0"/>
                <w:sz w:val="22"/>
              </w:rPr>
            </w:pPr>
          </w:p>
        </w:tc>
        <w:tc>
          <w:tcPr>
            <w:tcW w:w="1199" w:type="dxa"/>
            <w:shd w:val="clear" w:color="auto" w:fill="auto"/>
            <w:vAlign w:val="center"/>
          </w:tcPr>
          <w:p w14:paraId="696B6A6C">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411" w:type="dxa"/>
            <w:shd w:val="clear" w:color="auto" w:fill="auto"/>
            <w:vAlign w:val="center"/>
          </w:tcPr>
          <w:p w14:paraId="6E2F8BE6">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2789" w:type="dxa"/>
            <w:shd w:val="clear" w:color="auto" w:fill="auto"/>
            <w:vAlign w:val="center"/>
          </w:tcPr>
          <w:p w14:paraId="20A53182">
            <w:pPr>
              <w:widowControl/>
              <w:spacing w:line="0" w:lineRule="atLeast"/>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7341" w:type="dxa"/>
            <w:shd w:val="clear" w:color="auto" w:fill="auto"/>
            <w:vAlign w:val="center"/>
          </w:tcPr>
          <w:p w14:paraId="11466184">
            <w:pPr>
              <w:widowControl/>
              <w:spacing w:line="0" w:lineRule="atLeast"/>
              <w:rPr>
                <w:rFonts w:ascii="宋体" w:hAnsi="宋体" w:cs="宋体"/>
                <w:color w:val="000000"/>
                <w:kern w:val="0"/>
                <w:sz w:val="22"/>
              </w:rPr>
            </w:pPr>
            <w:r>
              <w:rPr>
                <w:rFonts w:hint="eastAsia" w:ascii="宋体" w:hAnsi="宋体" w:cs="宋体"/>
                <w:color w:val="000000"/>
                <w:kern w:val="0"/>
                <w:sz w:val="22"/>
              </w:rPr>
              <w:br w:type="textWrapping"/>
            </w:r>
            <w:r>
              <w:rPr>
                <w:rFonts w:hint="eastAsia" w:ascii="宋体" w:hAnsi="宋体" w:cs="宋体"/>
                <w:color w:val="000000"/>
                <w:kern w:val="0"/>
                <w:sz w:val="22"/>
              </w:rPr>
              <w:t>成本节约率=[（计划成本-实际成本）/计划成本]×100%。</w:t>
            </w:r>
            <w:r>
              <w:rPr>
                <w:rFonts w:hint="eastAsia" w:ascii="宋体" w:hAnsi="宋体" w:cs="宋体"/>
                <w:color w:val="000000"/>
                <w:kern w:val="0"/>
                <w:sz w:val="22"/>
              </w:rPr>
              <w:br w:type="textWrapping"/>
            </w:r>
            <w:r>
              <w:rPr>
                <w:rFonts w:hint="eastAsia" w:ascii="宋体" w:hAnsi="宋体" w:cs="宋体"/>
                <w:color w:val="000000"/>
                <w:kern w:val="0"/>
                <w:sz w:val="22"/>
              </w:rPr>
              <w:t>实际成本：项目实施单位如期、保质、保量完成既定工作目标实际所耗费的支出。</w:t>
            </w:r>
            <w:r>
              <w:rPr>
                <w:rFonts w:hint="eastAsia" w:ascii="宋体" w:hAnsi="宋体" w:cs="宋体"/>
                <w:color w:val="000000"/>
                <w:kern w:val="0"/>
                <w:sz w:val="22"/>
              </w:rPr>
              <w:br w:type="textWrapping"/>
            </w:r>
            <w:r>
              <w:rPr>
                <w:rFonts w:hint="eastAsia" w:ascii="宋体" w:hAnsi="宋体" w:cs="宋体"/>
                <w:color w:val="000000"/>
                <w:kern w:val="0"/>
                <w:sz w:val="22"/>
              </w:rPr>
              <w:t>计划成本：项目实施单位为完成工作目标计划安排的支出，一般以项目预算为参考。</w:t>
            </w:r>
          </w:p>
        </w:tc>
      </w:tr>
      <w:tr w14:paraId="7404A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auto"/>
            <w:vAlign w:val="center"/>
          </w:tcPr>
          <w:p w14:paraId="2EDB10EA">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199" w:type="dxa"/>
            <w:vMerge w:val="restart"/>
            <w:shd w:val="clear" w:color="auto" w:fill="auto"/>
            <w:vAlign w:val="center"/>
          </w:tcPr>
          <w:p w14:paraId="156454A6">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411" w:type="dxa"/>
            <w:shd w:val="clear" w:color="auto" w:fill="auto"/>
            <w:vAlign w:val="center"/>
          </w:tcPr>
          <w:p w14:paraId="1EA1867F">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2789" w:type="dxa"/>
            <w:shd w:val="clear" w:color="auto" w:fill="auto"/>
            <w:vAlign w:val="center"/>
          </w:tcPr>
          <w:p w14:paraId="099C72AE">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项目实施所产生的效益。</w:t>
            </w:r>
          </w:p>
        </w:tc>
        <w:tc>
          <w:tcPr>
            <w:tcW w:w="7341" w:type="dxa"/>
            <w:shd w:val="clear" w:color="auto" w:fill="auto"/>
            <w:vAlign w:val="center"/>
          </w:tcPr>
          <w:p w14:paraId="35F257A9">
            <w:pPr>
              <w:widowControl/>
              <w:spacing w:line="0" w:lineRule="atLeast"/>
              <w:rPr>
                <w:rFonts w:ascii="宋体" w:hAnsi="宋体" w:cs="宋体"/>
                <w:color w:val="000000"/>
                <w:kern w:val="0"/>
                <w:sz w:val="22"/>
              </w:rPr>
            </w:pPr>
            <w:r>
              <w:rPr>
                <w:rFonts w:hint="eastAsia" w:ascii="宋体" w:hAnsi="宋体" w:cs="宋体"/>
                <w:color w:val="000000"/>
                <w:kern w:val="0"/>
                <w:sz w:val="22"/>
              </w:rPr>
              <w:t>项目实施所产生的社会效益、经济效益、生态效益、可持续影响等。可根据项目实际情况有选择地设置和细化。</w:t>
            </w:r>
          </w:p>
        </w:tc>
      </w:tr>
      <w:tr w14:paraId="63FD9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70CC5BFB">
            <w:pPr>
              <w:widowControl/>
              <w:spacing w:line="0" w:lineRule="atLeast"/>
              <w:jc w:val="center"/>
              <w:rPr>
                <w:rFonts w:ascii="宋体" w:hAnsi="宋体" w:cs="宋体"/>
                <w:color w:val="000000"/>
                <w:kern w:val="0"/>
                <w:sz w:val="22"/>
              </w:rPr>
            </w:pPr>
          </w:p>
        </w:tc>
        <w:tc>
          <w:tcPr>
            <w:tcW w:w="1199" w:type="dxa"/>
            <w:vMerge w:val="continue"/>
            <w:shd w:val="clear" w:color="auto" w:fill="auto"/>
            <w:vAlign w:val="center"/>
          </w:tcPr>
          <w:p w14:paraId="0B0C6A3F">
            <w:pPr>
              <w:widowControl/>
              <w:spacing w:line="0" w:lineRule="atLeast"/>
              <w:jc w:val="center"/>
              <w:rPr>
                <w:rFonts w:ascii="宋体" w:hAnsi="宋体" w:cs="宋体"/>
                <w:color w:val="000000"/>
                <w:kern w:val="0"/>
                <w:sz w:val="22"/>
              </w:rPr>
            </w:pPr>
          </w:p>
        </w:tc>
        <w:tc>
          <w:tcPr>
            <w:tcW w:w="1411" w:type="dxa"/>
            <w:shd w:val="clear" w:color="auto" w:fill="auto"/>
            <w:vAlign w:val="center"/>
          </w:tcPr>
          <w:p w14:paraId="0FD8B8CF">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2789" w:type="dxa"/>
            <w:shd w:val="clear" w:color="auto" w:fill="auto"/>
            <w:vAlign w:val="center"/>
          </w:tcPr>
          <w:p w14:paraId="7A5FD813">
            <w:pPr>
              <w:widowControl/>
              <w:spacing w:line="0" w:lineRule="atLeast"/>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7341" w:type="dxa"/>
            <w:shd w:val="clear" w:color="auto" w:fill="auto"/>
            <w:vAlign w:val="center"/>
          </w:tcPr>
          <w:p w14:paraId="4DBEE3ED">
            <w:pPr>
              <w:widowControl/>
              <w:spacing w:line="0" w:lineRule="atLeast"/>
              <w:rPr>
                <w:rFonts w:ascii="宋体" w:hAnsi="宋体" w:cs="宋体"/>
                <w:color w:val="000000"/>
                <w:kern w:val="0"/>
                <w:sz w:val="22"/>
              </w:rPr>
            </w:pPr>
            <w:r>
              <w:rPr>
                <w:rFonts w:hint="eastAsia" w:ascii="宋体" w:hAnsi="宋体" w:cs="宋体"/>
                <w:color w:val="000000"/>
                <w:kern w:val="0"/>
                <w:sz w:val="22"/>
              </w:rPr>
              <w:t>社会公众或服务对象是指因该项目实施而受到影响的部门（单位）、群体或个人。一般采取社会调查的方式。</w:t>
            </w:r>
          </w:p>
        </w:tc>
      </w:tr>
    </w:tbl>
    <w:p w14:paraId="070B8EA2">
      <w:pPr>
        <w:spacing w:line="600" w:lineRule="exact"/>
        <w:rPr>
          <w:rFonts w:ascii="仿宋_GB2312"/>
          <w:bCs/>
          <w:sz w:val="32"/>
          <w:szCs w:val="32"/>
        </w:rPr>
      </w:pPr>
    </w:p>
    <w:p w14:paraId="01126379">
      <w:pPr>
        <w:spacing w:line="540" w:lineRule="exact"/>
        <w:ind w:firstLine="640"/>
        <w:jc w:val="left"/>
        <w:rPr>
          <w:rStyle w:val="8"/>
          <w:rFonts w:ascii="仿宋_GB2312" w:hAnsi="黑体"/>
          <w:b w:val="0"/>
          <w:sz w:val="28"/>
          <w:szCs w:val="28"/>
        </w:rPr>
        <w:sectPr>
          <w:pgSz w:w="16838" w:h="11906" w:orient="landscape"/>
          <w:pgMar w:top="1417" w:right="720" w:bottom="992" w:left="720" w:header="851" w:footer="992" w:gutter="0"/>
          <w:cols w:space="720" w:num="1"/>
          <w:docGrid w:type="lines" w:linePitch="312" w:charSpace="0"/>
        </w:sectPr>
      </w:pPr>
    </w:p>
    <w:p w14:paraId="698880F4">
      <w:pPr>
        <w:spacing w:line="540" w:lineRule="exact"/>
        <w:ind w:firstLine="640"/>
        <w:rPr>
          <w:rStyle w:val="8"/>
          <w:rFonts w:ascii="仿宋_GB2312" w:hAnsi="黑体"/>
          <w:b w:val="0"/>
          <w:sz w:val="28"/>
          <w:szCs w:val="28"/>
        </w:rPr>
      </w:pPr>
      <w:r>
        <w:rPr>
          <w:rStyle w:val="8"/>
          <w:rFonts w:hint="eastAsia" w:ascii="仿宋_GB2312" w:hAnsi="黑体"/>
          <w:b w:val="0"/>
          <w:sz w:val="28"/>
          <w:szCs w:val="28"/>
        </w:rPr>
        <w:t>3.绩效评价方法</w:t>
      </w:r>
    </w:p>
    <w:p w14:paraId="2CA32350">
      <w:pPr>
        <w:spacing w:line="540" w:lineRule="exact"/>
        <w:ind w:firstLine="640"/>
        <w:rPr>
          <w:rStyle w:val="8"/>
          <w:rFonts w:ascii="仿宋_GB2312" w:hAnsi="黑体"/>
          <w:b w:val="0"/>
          <w:sz w:val="28"/>
          <w:szCs w:val="28"/>
        </w:rPr>
      </w:pPr>
      <w:r>
        <w:rPr>
          <w:rStyle w:val="8"/>
          <w:rFonts w:hint="eastAsia" w:ascii="仿宋_GB2312" w:hAnsi="黑体"/>
          <w:b w:val="0"/>
          <w:sz w:val="28"/>
          <w:szCs w:val="28"/>
        </w:rPr>
        <w:t>本项目为单位自评，采用定量与定性评价相结合的比较法，总分由各项指标得分汇总形成。</w:t>
      </w:r>
    </w:p>
    <w:p w14:paraId="13784523">
      <w:pPr>
        <w:spacing w:line="540" w:lineRule="exact"/>
        <w:ind w:firstLine="640"/>
        <w:rPr>
          <w:rStyle w:val="8"/>
          <w:rFonts w:ascii="仿宋_GB2312" w:hAnsi="黑体"/>
          <w:b w:val="0"/>
          <w:sz w:val="28"/>
          <w:szCs w:val="28"/>
        </w:rPr>
      </w:pPr>
      <w:r>
        <w:rPr>
          <w:rStyle w:val="8"/>
          <w:rFonts w:hint="eastAsia" w:ascii="仿宋_GB2312" w:hAnsi="黑体"/>
          <w:b w:val="0"/>
          <w:sz w:val="28"/>
          <w:szCs w:val="28"/>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A4E1565">
      <w:pPr>
        <w:spacing w:line="540" w:lineRule="exact"/>
        <w:ind w:firstLine="640"/>
        <w:rPr>
          <w:rStyle w:val="8"/>
          <w:rFonts w:ascii="仿宋_GB2312" w:hAnsi="黑体"/>
          <w:b w:val="0"/>
          <w:sz w:val="28"/>
          <w:szCs w:val="28"/>
        </w:rPr>
      </w:pPr>
      <w:r>
        <w:rPr>
          <w:rStyle w:val="8"/>
          <w:rFonts w:hint="eastAsia" w:ascii="仿宋_GB2312" w:hAnsi="黑体"/>
          <w:b w:val="0"/>
          <w:sz w:val="28"/>
          <w:szCs w:val="28"/>
        </w:rPr>
        <w:t>定性指标得分按照以下方法评定：根据指标完成情况分为达成年度指标、部分达成年度指标并具有一定效果、未达成年度指标且效果较差三档，分别按照该指标对应分值区间100%-80%（含）、80%-60%（含）、60%-0%合理确定分值。</w:t>
      </w:r>
    </w:p>
    <w:p w14:paraId="2570A7D4">
      <w:pPr>
        <w:spacing w:line="540" w:lineRule="exact"/>
        <w:ind w:firstLine="640"/>
        <w:rPr>
          <w:rStyle w:val="8"/>
          <w:rFonts w:ascii="仿宋_GB2312" w:hAnsi="黑体"/>
          <w:b w:val="0"/>
          <w:sz w:val="28"/>
          <w:szCs w:val="28"/>
        </w:rPr>
      </w:pPr>
      <w:r>
        <w:rPr>
          <w:rStyle w:val="8"/>
          <w:rFonts w:hint="eastAsia" w:ascii="仿宋_GB2312" w:hAnsi="黑体"/>
          <w:b w:val="0"/>
          <w:sz w:val="28"/>
          <w:szCs w:val="28"/>
        </w:rPr>
        <w:t>4.绩效评价标准</w:t>
      </w:r>
    </w:p>
    <w:p w14:paraId="01A4FFC1">
      <w:pPr>
        <w:spacing w:line="600" w:lineRule="exact"/>
        <w:ind w:firstLine="640"/>
        <w:rPr>
          <w:rStyle w:val="8"/>
          <w:rFonts w:hAnsi="黑体"/>
          <w:b w:val="0"/>
          <w:sz w:val="28"/>
          <w:szCs w:val="28"/>
        </w:rPr>
      </w:pPr>
      <w:r>
        <w:rPr>
          <w:rStyle w:val="8"/>
          <w:rFonts w:hint="eastAsia" w:hAnsi="黑体"/>
          <w:b w:val="0"/>
          <w:sz w:val="28"/>
          <w:szCs w:val="28"/>
        </w:rPr>
        <w:t>本项目为单位自评项目，绩效评价标准主要采用计划标准即以预先制定的目标、计划、预算、定额等作为评价标准，同时需符合财政部门和预算部门确认或认可的其他标准，对绩效指标完成情况进行比较。</w:t>
      </w:r>
    </w:p>
    <w:p w14:paraId="06887967">
      <w:pPr>
        <w:spacing w:line="600" w:lineRule="exact"/>
        <w:ind w:firstLine="640"/>
        <w:rPr>
          <w:rStyle w:val="8"/>
          <w:rFonts w:ascii="仿宋_GB2312" w:hAnsi="黑体"/>
          <w:b w:val="0"/>
          <w:sz w:val="28"/>
          <w:szCs w:val="28"/>
        </w:rPr>
      </w:pPr>
      <w:r>
        <w:rPr>
          <w:rStyle w:val="8"/>
          <w:rFonts w:hint="eastAsia" w:ascii="仿宋_GB2312" w:hAnsi="黑体"/>
          <w:b w:val="0"/>
          <w:sz w:val="28"/>
          <w:szCs w:val="28"/>
        </w:rPr>
        <w:t>本项目单位自评结果采取评分和评级相结合的方式，具体分值和等级可根据不同评价内容设定。总分设置为100分，等级划分为四档：90（含）-100分为优、80（含）-90分为良、60（含）-80分为中、60分以下为差。</w:t>
      </w:r>
    </w:p>
    <w:p w14:paraId="78C853AE">
      <w:pPr>
        <w:spacing w:line="600" w:lineRule="exact"/>
        <w:ind w:firstLine="640"/>
        <w:rPr>
          <w:rStyle w:val="8"/>
          <w:rFonts w:hAnsi="黑体"/>
          <w:sz w:val="28"/>
          <w:szCs w:val="28"/>
        </w:rPr>
      </w:pPr>
      <w:r>
        <w:rPr>
          <w:rStyle w:val="8"/>
          <w:rFonts w:hint="eastAsia" w:hAnsi="黑体"/>
          <w:sz w:val="28"/>
          <w:szCs w:val="28"/>
        </w:rPr>
        <w:t>（三）绩效评价工作过程</w:t>
      </w:r>
    </w:p>
    <w:p w14:paraId="328DDBA2">
      <w:pPr>
        <w:spacing w:line="600" w:lineRule="exact"/>
        <w:ind w:firstLine="640"/>
        <w:rPr>
          <w:rStyle w:val="8"/>
          <w:rFonts w:hAnsi="黑体"/>
          <w:b w:val="0"/>
          <w:sz w:val="28"/>
          <w:szCs w:val="28"/>
        </w:rPr>
      </w:pPr>
      <w:r>
        <w:rPr>
          <w:rStyle w:val="8"/>
          <w:rFonts w:hint="eastAsia" w:hAnsi="黑体"/>
          <w:b w:val="0"/>
          <w:sz w:val="28"/>
          <w:szCs w:val="28"/>
        </w:rPr>
        <w:t>根据项目性质确定本次绩效评价为单位自评，由我单位自主实施。针对本次自评，我单位组织、成立单位自评小组，设立绩效指标。自评人员主要为项目经理人、项目预算人员、单位财务管理人员。分别从项目资金管控、项目总体目标完成情况、具体产出、效益、服务对象满意度等方面采用</w:t>
      </w:r>
      <w:r>
        <w:rPr>
          <w:rStyle w:val="8"/>
          <w:rFonts w:hint="eastAsia" w:ascii="仿宋_GB2312" w:hAnsi="黑体"/>
          <w:b w:val="0"/>
          <w:sz w:val="28"/>
          <w:szCs w:val="28"/>
        </w:rPr>
        <w:t>定量与定性评价相结合的比较法</w:t>
      </w:r>
      <w:r>
        <w:rPr>
          <w:rStyle w:val="8"/>
          <w:rFonts w:hint="eastAsia" w:hAnsi="黑体"/>
          <w:b w:val="0"/>
          <w:sz w:val="28"/>
          <w:szCs w:val="28"/>
        </w:rPr>
        <w:t>进行了评分评级，</w:t>
      </w:r>
      <w:r>
        <w:rPr>
          <w:rStyle w:val="8"/>
          <w:rFonts w:hint="eastAsia" w:ascii="仿宋_GB2312" w:hAnsi="黑体"/>
          <w:b w:val="0"/>
          <w:sz w:val="28"/>
          <w:szCs w:val="28"/>
        </w:rPr>
        <w:t>总分由各项指标得分汇总形成。</w:t>
      </w:r>
      <w:r>
        <w:rPr>
          <w:rStyle w:val="8"/>
          <w:rFonts w:hint="eastAsia" w:hAnsi="黑体"/>
          <w:b w:val="0"/>
          <w:sz w:val="28"/>
          <w:szCs w:val="28"/>
        </w:rPr>
        <w:t>对出现偏差的方面进行了分析及是否采取了改进措施进行了说明。</w:t>
      </w:r>
    </w:p>
    <w:p w14:paraId="19F20D99">
      <w:pPr>
        <w:spacing w:line="600" w:lineRule="exact"/>
        <w:ind w:firstLine="640"/>
        <w:rPr>
          <w:rStyle w:val="8"/>
          <w:rFonts w:hAnsi="黑体"/>
          <w:sz w:val="28"/>
          <w:szCs w:val="28"/>
        </w:rPr>
      </w:pPr>
      <w:r>
        <w:rPr>
          <w:rStyle w:val="8"/>
          <w:rFonts w:hint="eastAsia" w:hAnsi="黑体"/>
          <w:sz w:val="28"/>
          <w:szCs w:val="28"/>
        </w:rPr>
        <w:t>三、综合评价情况及评价结论</w:t>
      </w:r>
    </w:p>
    <w:p w14:paraId="526B61BE">
      <w:pPr>
        <w:spacing w:line="600" w:lineRule="exact"/>
        <w:ind w:firstLine="640"/>
        <w:rPr>
          <w:rStyle w:val="8"/>
          <w:rFonts w:hAnsi="黑体"/>
          <w:b w:val="0"/>
          <w:sz w:val="28"/>
          <w:szCs w:val="28"/>
        </w:rPr>
      </w:pPr>
      <w:r>
        <w:rPr>
          <w:rStyle w:val="8"/>
          <w:rFonts w:hint="eastAsia" w:hAnsi="黑体"/>
          <w:b w:val="0"/>
          <w:sz w:val="28"/>
          <w:szCs w:val="28"/>
        </w:rPr>
        <w:t>该项目单位自评指标为预算批复时确定的绩效指标，从项目的产出数量、质量、时效、成本，以及经济效益、社会效益、生态效益、可持续影响、服务对象满意度等方面进行综合评价。</w:t>
      </w:r>
    </w:p>
    <w:p w14:paraId="7A29DE00">
      <w:pPr>
        <w:spacing w:line="600" w:lineRule="exact"/>
        <w:ind w:firstLine="640"/>
        <w:rPr>
          <w:rStyle w:val="8"/>
          <w:rFonts w:hAnsi="黑体"/>
          <w:b w:val="0"/>
          <w:sz w:val="28"/>
          <w:szCs w:val="28"/>
        </w:rPr>
      </w:pPr>
      <w:r>
        <w:rPr>
          <w:rStyle w:val="8"/>
          <w:rFonts w:hint="eastAsia" w:hAnsi="黑体"/>
          <w:b w:val="0"/>
          <w:sz w:val="28"/>
          <w:szCs w:val="28"/>
        </w:rPr>
        <w:t>根据项目实际情况，确定项目的单位自评指标权重为：预算执行率</w:t>
      </w:r>
      <w:r>
        <w:rPr>
          <w:rStyle w:val="8"/>
          <w:rFonts w:hAnsi="黑体"/>
          <w:b w:val="0"/>
          <w:sz w:val="28"/>
          <w:szCs w:val="28"/>
        </w:rPr>
        <w:t>10</w:t>
      </w:r>
      <w:r>
        <w:rPr>
          <w:rStyle w:val="8"/>
          <w:rFonts w:hint="eastAsia" w:hAnsi="黑体"/>
          <w:b w:val="0"/>
          <w:sz w:val="28"/>
          <w:szCs w:val="28"/>
        </w:rPr>
        <w:t>%、产出指标50%、效益指标30%、服务对象满意度指标10%。</w:t>
      </w:r>
    </w:p>
    <w:p w14:paraId="598B5F38">
      <w:pPr>
        <w:spacing w:line="600" w:lineRule="exact"/>
        <w:ind w:firstLine="640"/>
        <w:rPr>
          <w:rStyle w:val="8"/>
          <w:rFonts w:hAnsi="黑体"/>
          <w:b w:val="0"/>
          <w:sz w:val="28"/>
          <w:szCs w:val="28"/>
        </w:rPr>
      </w:pPr>
      <w:r>
        <w:rPr>
          <w:rStyle w:val="8"/>
          <w:rFonts w:hint="eastAsia" w:hAnsi="黑体"/>
          <w:b w:val="0"/>
          <w:sz w:val="28"/>
          <w:szCs w:val="28"/>
        </w:rPr>
        <w:t>该项目绩效评价结果采取评分和评级相结合的方式，总分由各项指标得分汇总形成。自评结论：总分“</w:t>
      </w:r>
      <w:r>
        <w:rPr>
          <w:rStyle w:val="8"/>
          <w:rFonts w:hAnsi="黑体"/>
          <w:b w:val="0"/>
          <w:sz w:val="28"/>
          <w:szCs w:val="28"/>
        </w:rPr>
        <w:t>89</w:t>
      </w:r>
      <w:r>
        <w:rPr>
          <w:rStyle w:val="8"/>
          <w:rFonts w:hint="eastAsia" w:hAnsi="黑体"/>
          <w:b w:val="0"/>
          <w:sz w:val="28"/>
          <w:szCs w:val="28"/>
        </w:rPr>
        <w:t>”分，结论“良”。</w:t>
      </w:r>
    </w:p>
    <w:p w14:paraId="25EFEF3A">
      <w:pPr>
        <w:spacing w:line="600" w:lineRule="exact"/>
        <w:ind w:firstLine="562" w:firstLineChars="200"/>
        <w:jc w:val="left"/>
        <w:rPr>
          <w:rStyle w:val="8"/>
          <w:rFonts w:ascii="仿宋_GB2312" w:hAnsi="黑体"/>
          <w:sz w:val="28"/>
          <w:szCs w:val="28"/>
        </w:rPr>
      </w:pPr>
      <w:r>
        <w:rPr>
          <w:rStyle w:val="8"/>
          <w:rFonts w:hint="eastAsia" w:ascii="仿宋_GB2312" w:hAnsi="黑体"/>
          <w:sz w:val="28"/>
          <w:szCs w:val="28"/>
        </w:rPr>
        <w:t>四、绩效评价指标分析</w:t>
      </w:r>
    </w:p>
    <w:p w14:paraId="46720940">
      <w:pPr>
        <w:spacing w:line="600" w:lineRule="exact"/>
        <w:ind w:firstLine="562" w:firstLineChars="200"/>
        <w:jc w:val="left"/>
        <w:rPr>
          <w:rStyle w:val="8"/>
          <w:rFonts w:ascii="仿宋_GB2312" w:hAnsi="黑体"/>
          <w:sz w:val="28"/>
          <w:szCs w:val="28"/>
        </w:rPr>
      </w:pPr>
      <w:r>
        <w:rPr>
          <w:rStyle w:val="8"/>
          <w:rFonts w:hint="eastAsia" w:ascii="仿宋_GB2312" w:hAnsi="黑体"/>
          <w:sz w:val="28"/>
          <w:szCs w:val="28"/>
        </w:rPr>
        <w:t>（一）项目决策情况</w:t>
      </w:r>
    </w:p>
    <w:p w14:paraId="1C9F27CD">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1.项目立项</w:t>
      </w:r>
    </w:p>
    <w:p w14:paraId="6E0CE0F5">
      <w:pPr>
        <w:spacing w:line="600" w:lineRule="exact"/>
        <w:ind w:firstLine="560" w:firstLineChars="200"/>
        <w:jc w:val="left"/>
        <w:rPr>
          <w:rFonts w:ascii="仿宋_GB2312" w:hAnsi="仿宋"/>
          <w:sz w:val="28"/>
          <w:szCs w:val="28"/>
        </w:rPr>
      </w:pPr>
      <w:r>
        <w:rPr>
          <w:rStyle w:val="8"/>
          <w:rFonts w:hint="eastAsia" w:ascii="仿宋_GB2312" w:hAnsi="黑体"/>
          <w:b w:val="0"/>
          <w:sz w:val="28"/>
          <w:szCs w:val="28"/>
        </w:rPr>
        <w:t>2018年10月新疆煤田地质局向新疆维吾尔自治区地质勘查基金项目管理中心申报《新疆皮山县玉立群-比纳木一带煤炭资源预查》立项，同时经过专家论证，同意报批2019年项目库，</w:t>
      </w:r>
      <w:r>
        <w:rPr>
          <w:rFonts w:hint="eastAsia" w:ascii="仿宋_GB2312" w:hAnsi="仿宋"/>
          <w:sz w:val="28"/>
          <w:szCs w:val="28"/>
        </w:rPr>
        <w:t>申请立项依据充分。</w:t>
      </w:r>
    </w:p>
    <w:p w14:paraId="03ED3926">
      <w:pPr>
        <w:spacing w:line="600" w:lineRule="exact"/>
        <w:ind w:firstLine="560" w:firstLineChars="200"/>
        <w:jc w:val="left"/>
        <w:rPr>
          <w:rFonts w:ascii="仿宋_GB2312" w:hAnsi="仿宋"/>
          <w:sz w:val="28"/>
          <w:szCs w:val="28"/>
        </w:rPr>
      </w:pPr>
      <w:r>
        <w:rPr>
          <w:rFonts w:hint="eastAsia" w:ascii="仿宋_GB2312" w:hAnsi="仿宋"/>
          <w:sz w:val="28"/>
          <w:szCs w:val="28"/>
        </w:rPr>
        <w:t>2019年自治区人民政府同意该项目立项，资金来源为自治区财政出资，并委托新疆自然资源厅对含本项目在内的“新疆2019年地质勘查项目招标公告”公开招标，我单位参与新疆皮山县玉立群-比纳木一带煤炭资源预查项目的投标，并编写了该标书。新疆维吾尔自治区地质勘查基金项目管理中心于2019年4月23日～24日自治区自然资源厅、财政厅分别组织有关专家，对自治区地质勘查资金项目、能源调查评价等项目工作方案进行了现场开标、专家打分。该项目购买标书单位4家，投标单位4家，最终我队技术标和商务标综合得分为第一名。最终确定我单位新疆煤田地质局综合地质勘查队中标该项目，同时自治区地质勘查招标领导小组确认。我单位有幸中得该标。2019年6月12日我单位与新疆自然资源厅签到了项目合同书。2019年5月20日我单位在完成两级备案后正式开工。</w:t>
      </w:r>
    </w:p>
    <w:p w14:paraId="037B10BA">
      <w:pPr>
        <w:spacing w:line="600" w:lineRule="exact"/>
        <w:ind w:firstLine="560" w:firstLineChars="200"/>
        <w:jc w:val="left"/>
        <w:rPr>
          <w:rStyle w:val="8"/>
          <w:rFonts w:ascii="仿宋_GB2312" w:hAnsi="黑体"/>
          <w:b w:val="0"/>
          <w:sz w:val="28"/>
          <w:szCs w:val="28"/>
        </w:rPr>
      </w:pPr>
      <w:r>
        <w:rPr>
          <w:rFonts w:hint="eastAsia" w:ascii="仿宋_GB2312" w:hAnsi="仿宋"/>
          <w:sz w:val="28"/>
          <w:szCs w:val="28"/>
        </w:rPr>
        <w:t>总的来说，从项目靶区的选择、项目立项申报、项目招标、项目合同的签到均符合自治区财政出资项目管理规定</w:t>
      </w:r>
      <w:r>
        <w:rPr>
          <w:rStyle w:val="8"/>
          <w:rFonts w:hint="eastAsia" w:ascii="仿宋_GB2312" w:hAnsi="黑体"/>
          <w:b w:val="0"/>
          <w:sz w:val="28"/>
          <w:szCs w:val="28"/>
        </w:rPr>
        <w:t>。</w:t>
      </w:r>
    </w:p>
    <w:p w14:paraId="016C91EC">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2.绩效目标</w:t>
      </w:r>
    </w:p>
    <w:p w14:paraId="249406FF">
      <w:pPr>
        <w:spacing w:line="500" w:lineRule="exact"/>
        <w:ind w:firstLine="560" w:firstLineChars="200"/>
        <w:rPr>
          <w:rStyle w:val="8"/>
          <w:rFonts w:ascii="仿宋_GB2312" w:hAnsi="黑体"/>
          <w:b w:val="0"/>
          <w:sz w:val="28"/>
          <w:szCs w:val="28"/>
        </w:rPr>
      </w:pPr>
      <w:r>
        <w:rPr>
          <w:rStyle w:val="8"/>
          <w:rFonts w:hint="eastAsia" w:ascii="仿宋_GB2312" w:hAnsi="黑体"/>
          <w:b w:val="0"/>
          <w:sz w:val="28"/>
          <w:szCs w:val="28"/>
        </w:rPr>
        <w:t>该项目为煤炭资源勘查项目，总体目标：开展1</w:t>
      </w:r>
      <w:r>
        <w:rPr>
          <w:rStyle w:val="8"/>
          <w:rFonts w:hint="eastAsia" w:ascii="微软雅黑" w:hAnsi="微软雅黑" w:eastAsia="微软雅黑" w:cs="微软雅黑"/>
          <w:b w:val="0"/>
          <w:sz w:val="28"/>
          <w:szCs w:val="28"/>
        </w:rPr>
        <w:t>︰</w:t>
      </w:r>
      <w:r>
        <w:rPr>
          <w:rStyle w:val="8"/>
          <w:rFonts w:ascii="仿宋_GB2312" w:hAnsi="黑体"/>
          <w:b w:val="0"/>
          <w:sz w:val="28"/>
          <w:szCs w:val="28"/>
        </w:rPr>
        <w:t>25000</w:t>
      </w:r>
      <w:r>
        <w:rPr>
          <w:rStyle w:val="8"/>
          <w:rFonts w:hint="eastAsia" w:ascii="仿宋_GB2312" w:hAnsi="黑体"/>
          <w:b w:val="0"/>
          <w:sz w:val="28"/>
          <w:szCs w:val="28"/>
        </w:rPr>
        <w:t>地质草测、1</w:t>
      </w:r>
      <w:r>
        <w:rPr>
          <w:rStyle w:val="8"/>
          <w:rFonts w:hint="eastAsia" w:ascii="微软雅黑" w:hAnsi="微软雅黑" w:eastAsia="微软雅黑" w:cs="微软雅黑"/>
          <w:b w:val="0"/>
          <w:sz w:val="28"/>
          <w:szCs w:val="28"/>
        </w:rPr>
        <w:t>︰</w:t>
      </w:r>
      <w:r>
        <w:rPr>
          <w:rStyle w:val="8"/>
          <w:rFonts w:hint="eastAsia" w:ascii="仿宋_GB2312" w:hAnsi="黑体"/>
          <w:b w:val="0"/>
          <w:sz w:val="28"/>
          <w:szCs w:val="28"/>
        </w:rPr>
        <w:t>5000剖面测量工作，废弃煤窑调查，确定施工槽探位置，目的确定地层层序，初步查明地质构造形态，建立全区的构造格架，以剖面测量控制含煤地层的岩性，厚度和含煤性的变化，同时控制可采煤层的厚度和结构变化，配合地质简测。其中地质草测面积140km</w:t>
      </w:r>
      <w:r>
        <w:rPr>
          <w:rStyle w:val="8"/>
          <w:rFonts w:hint="eastAsia" w:ascii="仿宋_GB2312" w:hAnsi="黑体"/>
          <w:b w:val="0"/>
          <w:sz w:val="28"/>
          <w:szCs w:val="28"/>
          <w:vertAlign w:val="superscript"/>
        </w:rPr>
        <w:t>2</w:t>
      </w:r>
      <w:r>
        <w:rPr>
          <w:rStyle w:val="8"/>
          <w:rFonts w:hint="eastAsia" w:ascii="仿宋_GB2312" w:hAnsi="黑体"/>
          <w:b w:val="0"/>
          <w:sz w:val="28"/>
          <w:szCs w:val="28"/>
        </w:rPr>
        <w:t>，剖面测量20.40km。施工槽探工程共计</w:t>
      </w:r>
      <w:r>
        <w:rPr>
          <w:rStyle w:val="8"/>
          <w:rFonts w:ascii="仿宋_GB2312" w:hAnsi="黑体"/>
          <w:b w:val="0"/>
          <w:sz w:val="28"/>
          <w:szCs w:val="28"/>
        </w:rPr>
        <w:t>2</w:t>
      </w:r>
      <w:r>
        <w:rPr>
          <w:rStyle w:val="8"/>
          <w:rFonts w:hint="eastAsia" w:ascii="仿宋_GB2312" w:hAnsi="黑体"/>
          <w:b w:val="0"/>
          <w:sz w:val="28"/>
          <w:szCs w:val="28"/>
        </w:rPr>
        <w:t>个，深度1～3米。布设工程浅钻7个，每个深度</w:t>
      </w:r>
      <w:r>
        <w:rPr>
          <w:rStyle w:val="8"/>
          <w:rFonts w:ascii="仿宋_GB2312" w:hAnsi="黑体"/>
          <w:b w:val="0"/>
          <w:sz w:val="28"/>
          <w:szCs w:val="28"/>
        </w:rPr>
        <w:t>35</w:t>
      </w:r>
      <w:r>
        <w:rPr>
          <w:rStyle w:val="8"/>
          <w:rFonts w:hint="eastAsia" w:ascii="仿宋_GB2312" w:hAnsi="黑体"/>
          <w:b w:val="0"/>
          <w:sz w:val="28"/>
          <w:szCs w:val="28"/>
        </w:rPr>
        <w:t>米左右，根据槽探施工情况施工浅钻工程。在分析利用区内及其周边已有资料的基础上，布设钻孔控制侏罗系中统杨叶组煤层。通过钻探揭露整个含煤地层，取得完整的含煤地层柱状和了解含煤地层的岩性、煤层层数、煤层的一般厚度和埋藏深度。进行地球物理测井对钻探成果进行验证，常规测井、声波测井钻孔5个。在所有设计钻孔中采取达到可采厚度点的煤心煤样，部分钻孔采集光谱样及孢粉样，通过各种样品的采集与测试，大致了解煤类和煤质的一般特征，大致了解其他有益矿产情况。施工中各项工作手段之间相互衔接，认真及时地做好地质“三边”工作，确保各种资料及时分析、整理，及时提交反馈、相互验证、充分利用，使各项工程均达到最佳效果，达到技术经济合理。</w:t>
      </w:r>
    </w:p>
    <w:p w14:paraId="38282EF9">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结合往年完成的煤炭资源勘查同类项目，该项目绩效目标设置合理，符合客观情况，与项目工作任务相匹配，绩效指标清晰、细化、可衡量。</w:t>
      </w:r>
    </w:p>
    <w:p w14:paraId="6CC01D3F">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3.资金投入</w:t>
      </w:r>
    </w:p>
    <w:p w14:paraId="41469A30">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该项目预算资金额600万元。自治区自然资源厅聘请专业预算人员对项目预算编制进行了审查，预算编制依据充分，符合行业标准，工程量与资金量匹配。</w:t>
      </w:r>
    </w:p>
    <w:p w14:paraId="1B1BD134">
      <w:pPr>
        <w:spacing w:line="600" w:lineRule="exact"/>
        <w:ind w:firstLine="562" w:firstLineChars="200"/>
        <w:jc w:val="left"/>
        <w:rPr>
          <w:rStyle w:val="8"/>
          <w:rFonts w:ascii="仿宋_GB2312" w:hAnsi="黑体"/>
          <w:sz w:val="28"/>
          <w:szCs w:val="28"/>
        </w:rPr>
      </w:pPr>
      <w:r>
        <w:rPr>
          <w:rStyle w:val="8"/>
          <w:rFonts w:hint="eastAsia" w:ascii="仿宋_GB2312" w:hAnsi="黑体"/>
          <w:sz w:val="28"/>
          <w:szCs w:val="28"/>
        </w:rPr>
        <w:t xml:space="preserve"> （二）项目过程情况</w:t>
      </w:r>
    </w:p>
    <w:p w14:paraId="036015B0">
      <w:pPr>
        <w:spacing w:line="600" w:lineRule="exact"/>
        <w:ind w:firstLine="562" w:firstLineChars="200"/>
        <w:jc w:val="left"/>
        <w:rPr>
          <w:rStyle w:val="8"/>
          <w:rFonts w:ascii="仿宋_GB2312" w:hAnsi="黑体"/>
          <w:sz w:val="28"/>
          <w:szCs w:val="28"/>
        </w:rPr>
      </w:pPr>
      <w:r>
        <w:rPr>
          <w:rStyle w:val="8"/>
          <w:rFonts w:hint="eastAsia" w:ascii="仿宋_GB2312" w:hAnsi="黑体"/>
          <w:sz w:val="28"/>
          <w:szCs w:val="28"/>
        </w:rPr>
        <w:t>1.资金管理</w:t>
      </w:r>
    </w:p>
    <w:p w14:paraId="63DAFDF3">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该项目2019年度实际到位资金</w:t>
      </w:r>
      <w:r>
        <w:rPr>
          <w:rStyle w:val="8"/>
          <w:rFonts w:ascii="仿宋_GB2312" w:hAnsi="黑体"/>
          <w:b w:val="0"/>
          <w:sz w:val="28"/>
          <w:szCs w:val="28"/>
        </w:rPr>
        <w:t>600</w:t>
      </w:r>
      <w:r>
        <w:rPr>
          <w:rStyle w:val="8"/>
          <w:rFonts w:hint="eastAsia" w:ascii="仿宋_GB2312" w:hAnsi="黑体"/>
          <w:b w:val="0"/>
          <w:sz w:val="28"/>
          <w:szCs w:val="28"/>
        </w:rPr>
        <w:t>万元，2019年度预算资金</w:t>
      </w:r>
      <w:r>
        <w:rPr>
          <w:rStyle w:val="8"/>
          <w:rFonts w:ascii="仿宋_GB2312" w:hAnsi="黑体"/>
          <w:b w:val="0"/>
          <w:sz w:val="28"/>
          <w:szCs w:val="28"/>
        </w:rPr>
        <w:t>400</w:t>
      </w:r>
      <w:r>
        <w:rPr>
          <w:rStyle w:val="8"/>
          <w:rFonts w:hint="eastAsia" w:ascii="仿宋_GB2312" w:hAnsi="黑体"/>
          <w:b w:val="0"/>
          <w:sz w:val="28"/>
          <w:szCs w:val="28"/>
        </w:rPr>
        <w:t>万元，2019年实际支出资金</w:t>
      </w:r>
      <w:r>
        <w:rPr>
          <w:rStyle w:val="8"/>
          <w:rFonts w:ascii="仿宋_GB2312" w:hAnsi="黑体"/>
          <w:b w:val="0"/>
          <w:sz w:val="28"/>
          <w:szCs w:val="28"/>
        </w:rPr>
        <w:t>435.37</w:t>
      </w:r>
      <w:r>
        <w:rPr>
          <w:rStyle w:val="8"/>
          <w:rFonts w:hint="eastAsia" w:ascii="仿宋_GB2312" w:hAnsi="黑体"/>
          <w:b w:val="0"/>
          <w:sz w:val="28"/>
          <w:szCs w:val="28"/>
        </w:rPr>
        <w:t>万元，资金到位率10</w:t>
      </w:r>
      <w:r>
        <w:rPr>
          <w:rStyle w:val="8"/>
          <w:rFonts w:ascii="仿宋_GB2312" w:hAnsi="黑体"/>
          <w:b w:val="0"/>
          <w:sz w:val="28"/>
          <w:szCs w:val="28"/>
        </w:rPr>
        <w:t>0</w:t>
      </w:r>
      <w:r>
        <w:rPr>
          <w:rStyle w:val="8"/>
          <w:rFonts w:hint="eastAsia" w:ascii="仿宋_GB2312" w:hAnsi="黑体"/>
          <w:b w:val="0"/>
          <w:sz w:val="28"/>
          <w:szCs w:val="28"/>
        </w:rPr>
        <w:t>%，资金预算执行率10</w:t>
      </w:r>
      <w:r>
        <w:rPr>
          <w:rStyle w:val="8"/>
          <w:rFonts w:ascii="仿宋_GB2312" w:hAnsi="黑体"/>
          <w:b w:val="0"/>
          <w:sz w:val="28"/>
          <w:szCs w:val="28"/>
        </w:rPr>
        <w:t>9</w:t>
      </w:r>
      <w:r>
        <w:rPr>
          <w:rStyle w:val="8"/>
          <w:rFonts w:hint="eastAsia" w:ascii="仿宋_GB2312" w:hAnsi="黑体"/>
          <w:b w:val="0"/>
          <w:sz w:val="28"/>
          <w:szCs w:val="28"/>
        </w:rPr>
        <w:t>%。</w:t>
      </w:r>
    </w:p>
    <w:p w14:paraId="69DAF72C">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项目资金的使用符合国家财经法规和财务管理制度以及有关专项资金管理办法的规定，资金的拨付采用专款专项的形式拨付至自治区财政项目指定账户，项目资金的使用完全用于该项目的工程施工，无截留、挤占、挪用、虚列支出等情况。</w:t>
      </w:r>
    </w:p>
    <w:p w14:paraId="05A41FA9">
      <w:pPr>
        <w:spacing w:line="600" w:lineRule="exact"/>
        <w:ind w:firstLine="562" w:firstLineChars="200"/>
        <w:jc w:val="left"/>
        <w:rPr>
          <w:rStyle w:val="8"/>
          <w:rFonts w:ascii="仿宋_GB2312" w:hAnsi="黑体"/>
          <w:sz w:val="28"/>
          <w:szCs w:val="28"/>
        </w:rPr>
      </w:pPr>
      <w:r>
        <w:rPr>
          <w:rStyle w:val="8"/>
          <w:rFonts w:hint="eastAsia" w:ascii="仿宋_GB2312" w:hAnsi="黑体"/>
          <w:sz w:val="28"/>
          <w:szCs w:val="28"/>
        </w:rPr>
        <w:t>2.组织实施</w:t>
      </w:r>
    </w:p>
    <w:p w14:paraId="7C329300">
      <w:pPr>
        <w:ind w:firstLine="560" w:firstLineChars="200"/>
        <w:rPr>
          <w:rFonts w:ascii="仿宋" w:hAnsi="仿宋" w:eastAsia="仿宋" w:cs="MV Boli"/>
          <w:sz w:val="28"/>
          <w:szCs w:val="28"/>
        </w:rPr>
      </w:pPr>
      <w:r>
        <w:rPr>
          <w:rFonts w:hint="eastAsia" w:ascii="仿宋_GB2312" w:hAnsi="仿宋" w:cs="MV Boli"/>
          <w:sz w:val="28"/>
          <w:szCs w:val="28"/>
        </w:rPr>
        <w:t>项目开工前组建项目部，落实岗位职责，设置项目经理、技术负责、质检员、测量员、施工员、安全员等岗位，分别选取我单位有相关施工管理经验人员担任，为项目的实施打下良好的组织保障</w:t>
      </w:r>
      <w:r>
        <w:rPr>
          <w:rFonts w:hint="eastAsia" w:ascii="仿宋" w:hAnsi="仿宋" w:eastAsia="仿宋" w:cs="MV Boli"/>
          <w:sz w:val="28"/>
          <w:szCs w:val="28"/>
        </w:rPr>
        <w:t>。</w:t>
      </w:r>
    </w:p>
    <w:p w14:paraId="519181F4">
      <w:pPr>
        <w:spacing w:line="600" w:lineRule="exact"/>
        <w:jc w:val="left"/>
        <w:rPr>
          <w:rStyle w:val="8"/>
          <w:rFonts w:ascii="仿宋_GB2312" w:hAnsi="黑体"/>
          <w:sz w:val="28"/>
          <w:szCs w:val="28"/>
        </w:rPr>
      </w:pPr>
      <w:r>
        <w:rPr>
          <w:rStyle w:val="8"/>
          <w:rFonts w:hint="eastAsia" w:ascii="仿宋_GB2312" w:hAnsi="黑体"/>
          <w:sz w:val="28"/>
          <w:szCs w:val="28"/>
        </w:rPr>
        <w:t>（三）项目产出情况</w:t>
      </w:r>
    </w:p>
    <w:p w14:paraId="0C251A12">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1.产出数量</w:t>
      </w:r>
    </w:p>
    <w:p w14:paraId="0F05E642">
      <w:pPr>
        <w:spacing w:line="600" w:lineRule="exact"/>
        <w:ind w:firstLine="560" w:firstLineChars="200"/>
        <w:jc w:val="left"/>
        <w:rPr>
          <w:rStyle w:val="8"/>
          <w:rFonts w:ascii="仿宋_GB2312" w:hAnsi="黑体"/>
          <w:b w:val="0"/>
          <w:sz w:val="28"/>
          <w:szCs w:val="28"/>
        </w:rPr>
      </w:pPr>
      <w:r>
        <w:rPr>
          <w:rFonts w:hint="eastAsia" w:ascii="仿宋_GB2312" w:hAnsi="仿宋"/>
          <w:bCs/>
          <w:sz w:val="28"/>
          <w:szCs w:val="28"/>
        </w:rPr>
        <w:t>2019年度</w:t>
      </w:r>
      <w:r>
        <w:rPr>
          <w:rStyle w:val="8"/>
          <w:rFonts w:hint="eastAsia" w:ascii="仿宋_GB2312" w:hAnsi="黑体"/>
          <w:b w:val="0"/>
          <w:sz w:val="28"/>
          <w:szCs w:val="28"/>
        </w:rPr>
        <w:t>该项目设计工作量：</w:t>
      </w:r>
      <w:r>
        <w:rPr>
          <w:rFonts w:hint="eastAsia" w:ascii="仿宋_GB2312" w:hAnsi="仿宋"/>
          <w:bCs/>
          <w:sz w:val="28"/>
          <w:szCs w:val="28"/>
        </w:rPr>
        <w:t>1∶25000地质草测140</w:t>
      </w:r>
      <w:r>
        <w:rPr>
          <w:rFonts w:hint="eastAsia" w:ascii="仿宋_GB2312" w:hAnsi="仿宋" w:cs="宋体"/>
          <w:color w:val="000000"/>
          <w:sz w:val="28"/>
          <w:szCs w:val="28"/>
        </w:rPr>
        <w:t>km</w:t>
      </w:r>
      <w:r>
        <w:rPr>
          <w:rFonts w:hint="eastAsia" w:ascii="仿宋_GB2312" w:hAnsi="仿宋" w:cs="宋体"/>
          <w:color w:val="000000"/>
          <w:sz w:val="28"/>
          <w:szCs w:val="28"/>
          <w:vertAlign w:val="superscript"/>
        </w:rPr>
        <w:t>2</w:t>
      </w:r>
      <w:r>
        <w:rPr>
          <w:rFonts w:hint="eastAsia" w:ascii="仿宋_GB2312" w:hAnsi="仿宋"/>
          <w:bCs/>
          <w:sz w:val="28"/>
          <w:szCs w:val="28"/>
        </w:rPr>
        <w:t>，1∶5000勘查线剖面测量20.</w:t>
      </w:r>
      <w:r>
        <w:rPr>
          <w:rFonts w:ascii="仿宋_GB2312" w:hAnsi="仿宋"/>
          <w:bCs/>
          <w:sz w:val="28"/>
          <w:szCs w:val="28"/>
        </w:rPr>
        <w:t>40</w:t>
      </w:r>
      <w:r>
        <w:rPr>
          <w:rFonts w:hint="eastAsia" w:ascii="仿宋_GB2312" w:hAnsi="仿宋" w:cs="宋体"/>
          <w:color w:val="000000"/>
          <w:sz w:val="28"/>
          <w:szCs w:val="28"/>
        </w:rPr>
        <w:t>km,</w:t>
      </w:r>
      <w:r>
        <w:rPr>
          <w:rFonts w:hint="eastAsia" w:ascii="仿宋_GB2312" w:hAnsi="仿宋"/>
          <w:bCs/>
          <w:sz w:val="28"/>
          <w:szCs w:val="28"/>
        </w:rPr>
        <w:t>槽探工程</w:t>
      </w:r>
      <w:r>
        <w:rPr>
          <w:rFonts w:hint="eastAsia" w:ascii="仿宋_GB2312" w:hAnsi="仿宋" w:cs="宋体"/>
          <w:color w:val="000000"/>
          <w:sz w:val="28"/>
          <w:szCs w:val="28"/>
        </w:rPr>
        <w:t>5</w:t>
      </w:r>
      <w:r>
        <w:rPr>
          <w:rFonts w:ascii="仿宋_GB2312" w:hAnsi="仿宋" w:cs="宋体"/>
          <w:color w:val="000000"/>
          <w:sz w:val="28"/>
          <w:szCs w:val="28"/>
        </w:rPr>
        <w:t>00</w:t>
      </w:r>
      <w:r>
        <w:rPr>
          <w:rFonts w:hint="eastAsia" w:ascii="仿宋_GB2312" w:hAnsi="仿宋" w:cs="宋体"/>
          <w:color w:val="000000"/>
          <w:sz w:val="28"/>
          <w:szCs w:val="28"/>
        </w:rPr>
        <w:t>m</w:t>
      </w:r>
      <w:r>
        <w:rPr>
          <w:rFonts w:hint="eastAsia" w:ascii="仿宋_GB2312" w:hAnsi="仿宋" w:cs="宋体"/>
          <w:color w:val="000000"/>
          <w:sz w:val="28"/>
          <w:szCs w:val="28"/>
          <w:vertAlign w:val="superscript"/>
        </w:rPr>
        <w:t>3</w:t>
      </w:r>
      <w:r>
        <w:rPr>
          <w:rFonts w:hint="eastAsia" w:ascii="仿宋_GB2312" w:hAnsi="仿宋" w:cs="宋体"/>
          <w:color w:val="000000"/>
          <w:sz w:val="28"/>
          <w:szCs w:val="28"/>
        </w:rPr>
        <w:t>,</w:t>
      </w:r>
      <w:r>
        <w:rPr>
          <w:rFonts w:hint="eastAsia" w:ascii="仿宋_GB2312" w:hAnsi="仿宋"/>
          <w:bCs/>
          <w:sz w:val="28"/>
          <w:szCs w:val="28"/>
        </w:rPr>
        <w:t>工程浅钻</w:t>
      </w:r>
      <w:r>
        <w:rPr>
          <w:rFonts w:hint="eastAsia" w:ascii="仿宋_GB2312" w:hAnsi="仿宋" w:cs="宋体"/>
          <w:color w:val="000000"/>
          <w:sz w:val="28"/>
          <w:szCs w:val="28"/>
        </w:rPr>
        <w:t>2</w:t>
      </w:r>
      <w:r>
        <w:rPr>
          <w:rFonts w:ascii="仿宋_GB2312" w:hAnsi="仿宋" w:cs="宋体"/>
          <w:color w:val="000000"/>
          <w:sz w:val="28"/>
          <w:szCs w:val="28"/>
        </w:rPr>
        <w:t>10</w:t>
      </w:r>
      <w:r>
        <w:rPr>
          <w:rFonts w:hint="eastAsia" w:ascii="仿宋_GB2312" w:hAnsi="仿宋" w:cs="宋体"/>
          <w:color w:val="000000"/>
          <w:sz w:val="28"/>
          <w:szCs w:val="28"/>
        </w:rPr>
        <w:t>m,</w:t>
      </w:r>
      <w:r>
        <w:rPr>
          <w:rFonts w:hint="eastAsia" w:ascii="仿宋_GB2312" w:hAnsi="仿宋"/>
          <w:bCs/>
          <w:sz w:val="28"/>
          <w:szCs w:val="28"/>
        </w:rPr>
        <w:t>矿产地质钻探</w:t>
      </w:r>
      <w:r>
        <w:rPr>
          <w:rFonts w:hint="eastAsia" w:ascii="仿宋_GB2312" w:hAnsi="仿宋" w:cs="宋体"/>
          <w:color w:val="000000"/>
          <w:sz w:val="28"/>
          <w:szCs w:val="28"/>
        </w:rPr>
        <w:t>16</w:t>
      </w:r>
      <w:r>
        <w:rPr>
          <w:rFonts w:ascii="仿宋_GB2312" w:hAnsi="仿宋" w:cs="宋体"/>
          <w:color w:val="000000"/>
          <w:sz w:val="28"/>
          <w:szCs w:val="28"/>
        </w:rPr>
        <w:t>00</w:t>
      </w:r>
      <w:r>
        <w:rPr>
          <w:rFonts w:hint="eastAsia" w:ascii="仿宋_GB2312" w:hAnsi="仿宋" w:cs="宋体"/>
          <w:color w:val="000000"/>
          <w:sz w:val="28"/>
          <w:szCs w:val="28"/>
        </w:rPr>
        <w:t>m,</w:t>
      </w:r>
      <w:r>
        <w:rPr>
          <w:rFonts w:hint="eastAsia" w:ascii="仿宋_GB2312" w:hAnsi="仿宋"/>
          <w:bCs/>
          <w:sz w:val="28"/>
          <w:szCs w:val="28"/>
        </w:rPr>
        <w:t>地球物理测井</w:t>
      </w:r>
      <w:r>
        <w:rPr>
          <w:rFonts w:hint="eastAsia" w:ascii="仿宋_GB2312" w:hAnsi="仿宋" w:cs="宋体"/>
          <w:color w:val="000000"/>
          <w:sz w:val="28"/>
          <w:szCs w:val="28"/>
        </w:rPr>
        <w:t>16</w:t>
      </w:r>
      <w:r>
        <w:rPr>
          <w:rFonts w:ascii="仿宋_GB2312" w:hAnsi="仿宋" w:cs="宋体"/>
          <w:color w:val="000000"/>
          <w:sz w:val="28"/>
          <w:szCs w:val="28"/>
        </w:rPr>
        <w:t>00</w:t>
      </w:r>
      <w:r>
        <w:rPr>
          <w:rFonts w:hint="eastAsia" w:ascii="仿宋_GB2312" w:hAnsi="仿宋" w:cs="宋体"/>
          <w:color w:val="000000"/>
          <w:sz w:val="28"/>
          <w:szCs w:val="28"/>
        </w:rPr>
        <w:t>m,</w:t>
      </w:r>
      <w:r>
        <w:rPr>
          <w:rFonts w:hint="eastAsia" w:ascii="仿宋_GB2312" w:hAnsi="仿宋"/>
          <w:bCs/>
          <w:sz w:val="28"/>
          <w:szCs w:val="28"/>
        </w:rPr>
        <w:t>岩矿试验2</w:t>
      </w:r>
      <w:r>
        <w:rPr>
          <w:rFonts w:ascii="仿宋_GB2312" w:hAnsi="仿宋"/>
          <w:bCs/>
          <w:sz w:val="28"/>
          <w:szCs w:val="28"/>
        </w:rPr>
        <w:t>4</w:t>
      </w:r>
      <w:r>
        <w:rPr>
          <w:rFonts w:hint="eastAsia" w:ascii="仿宋_GB2312" w:hAnsi="仿宋"/>
          <w:bCs/>
          <w:sz w:val="28"/>
          <w:szCs w:val="28"/>
        </w:rPr>
        <w:t>个</w:t>
      </w:r>
      <w:r>
        <w:rPr>
          <w:rFonts w:hint="eastAsia" w:ascii="仿宋_GB2312" w:hAnsi="仿宋" w:cs="宋体"/>
          <w:color w:val="000000"/>
          <w:sz w:val="28"/>
          <w:szCs w:val="28"/>
        </w:rPr>
        <w:t>,</w:t>
      </w:r>
      <w:r>
        <w:rPr>
          <w:rFonts w:hint="eastAsia" w:ascii="仿宋_GB2312" w:hAnsi="仿宋"/>
          <w:bCs/>
          <w:sz w:val="28"/>
          <w:szCs w:val="28"/>
        </w:rPr>
        <w:t>工程测量</w:t>
      </w:r>
      <w:r>
        <w:rPr>
          <w:rFonts w:ascii="仿宋_GB2312" w:hAnsi="仿宋"/>
          <w:bCs/>
          <w:sz w:val="28"/>
          <w:szCs w:val="28"/>
        </w:rPr>
        <w:t>12</w:t>
      </w:r>
      <w:r>
        <w:rPr>
          <w:rFonts w:hint="eastAsia" w:ascii="仿宋_GB2312" w:hAnsi="仿宋"/>
          <w:bCs/>
          <w:sz w:val="28"/>
          <w:szCs w:val="28"/>
        </w:rPr>
        <w:t>点</w:t>
      </w:r>
      <w:r>
        <w:rPr>
          <w:rFonts w:hint="eastAsia" w:ascii="仿宋_GB2312" w:hAnsi="仿宋" w:cs="宋体"/>
          <w:color w:val="000000"/>
          <w:sz w:val="28"/>
          <w:szCs w:val="28"/>
        </w:rPr>
        <w:t>。</w:t>
      </w:r>
    </w:p>
    <w:p w14:paraId="5D4C6439">
      <w:pPr>
        <w:spacing w:line="600" w:lineRule="exact"/>
        <w:ind w:firstLine="560" w:firstLineChars="200"/>
        <w:jc w:val="left"/>
        <w:rPr>
          <w:rFonts w:ascii="仿宋_GB2312" w:hAnsi="仿宋" w:cs="宋体"/>
          <w:color w:val="000000"/>
          <w:sz w:val="28"/>
          <w:szCs w:val="28"/>
        </w:rPr>
      </w:pPr>
      <w:r>
        <w:rPr>
          <w:rFonts w:hint="eastAsia" w:ascii="仿宋_GB2312" w:hAnsi="仿宋"/>
          <w:bCs/>
          <w:sz w:val="28"/>
          <w:szCs w:val="28"/>
        </w:rPr>
        <w:t>2019年度项目实际完成工作量：1∶25000地质草测140</w:t>
      </w:r>
      <w:r>
        <w:rPr>
          <w:rFonts w:hint="eastAsia" w:ascii="仿宋_GB2312" w:hAnsi="仿宋" w:cs="宋体"/>
          <w:color w:val="000000"/>
          <w:sz w:val="28"/>
          <w:szCs w:val="28"/>
        </w:rPr>
        <w:t>km</w:t>
      </w:r>
      <w:r>
        <w:rPr>
          <w:rFonts w:hint="eastAsia" w:ascii="仿宋_GB2312" w:hAnsi="仿宋" w:cs="宋体"/>
          <w:color w:val="000000"/>
          <w:sz w:val="28"/>
          <w:szCs w:val="28"/>
          <w:vertAlign w:val="superscript"/>
        </w:rPr>
        <w:t>2</w:t>
      </w:r>
      <w:r>
        <w:rPr>
          <w:rFonts w:hint="eastAsia" w:ascii="仿宋_GB2312" w:hAnsi="仿宋"/>
          <w:bCs/>
          <w:sz w:val="28"/>
          <w:szCs w:val="28"/>
        </w:rPr>
        <w:t>，1∶5000勘查线剖面测量20.64</w:t>
      </w:r>
      <w:r>
        <w:rPr>
          <w:rFonts w:hint="eastAsia" w:ascii="仿宋_GB2312" w:hAnsi="仿宋" w:cs="宋体"/>
          <w:color w:val="000000"/>
          <w:sz w:val="28"/>
          <w:szCs w:val="28"/>
        </w:rPr>
        <w:t>km,</w:t>
      </w:r>
      <w:r>
        <w:rPr>
          <w:rFonts w:hint="eastAsia" w:ascii="仿宋_GB2312" w:hAnsi="仿宋"/>
          <w:bCs/>
          <w:sz w:val="28"/>
          <w:szCs w:val="28"/>
        </w:rPr>
        <w:t>槽探工程</w:t>
      </w:r>
      <w:r>
        <w:rPr>
          <w:rFonts w:hint="eastAsia" w:ascii="仿宋_GB2312" w:hAnsi="仿宋" w:cs="宋体"/>
          <w:color w:val="000000"/>
          <w:sz w:val="28"/>
          <w:szCs w:val="28"/>
        </w:rPr>
        <w:t>512m</w:t>
      </w:r>
      <w:r>
        <w:rPr>
          <w:rFonts w:hint="eastAsia" w:ascii="仿宋_GB2312" w:hAnsi="仿宋" w:cs="宋体"/>
          <w:color w:val="000000"/>
          <w:sz w:val="28"/>
          <w:szCs w:val="28"/>
          <w:vertAlign w:val="superscript"/>
        </w:rPr>
        <w:t>3</w:t>
      </w:r>
      <w:r>
        <w:rPr>
          <w:rFonts w:hint="eastAsia" w:ascii="仿宋_GB2312" w:hAnsi="仿宋" w:cs="宋体"/>
          <w:color w:val="000000"/>
          <w:sz w:val="28"/>
          <w:szCs w:val="28"/>
        </w:rPr>
        <w:t>,</w:t>
      </w:r>
      <w:r>
        <w:rPr>
          <w:rFonts w:hint="eastAsia" w:ascii="仿宋_GB2312" w:hAnsi="仿宋"/>
          <w:bCs/>
          <w:sz w:val="28"/>
          <w:szCs w:val="28"/>
        </w:rPr>
        <w:t>工程浅钻</w:t>
      </w:r>
      <w:r>
        <w:rPr>
          <w:rFonts w:hint="eastAsia" w:ascii="仿宋_GB2312" w:hAnsi="仿宋" w:cs="宋体"/>
          <w:color w:val="000000"/>
          <w:sz w:val="28"/>
          <w:szCs w:val="28"/>
        </w:rPr>
        <w:t>256m,</w:t>
      </w:r>
      <w:r>
        <w:rPr>
          <w:rFonts w:hint="eastAsia" w:ascii="仿宋_GB2312" w:hAnsi="仿宋"/>
          <w:bCs/>
          <w:sz w:val="28"/>
          <w:szCs w:val="28"/>
        </w:rPr>
        <w:t>矿产地质钻探</w:t>
      </w:r>
      <w:r>
        <w:rPr>
          <w:rFonts w:hint="eastAsia" w:ascii="仿宋_GB2312" w:hAnsi="仿宋" w:cs="宋体"/>
          <w:color w:val="000000"/>
          <w:sz w:val="28"/>
          <w:szCs w:val="28"/>
        </w:rPr>
        <w:t>1642.88m,</w:t>
      </w:r>
      <w:r>
        <w:rPr>
          <w:rFonts w:hint="eastAsia" w:ascii="仿宋_GB2312" w:hAnsi="仿宋"/>
          <w:bCs/>
          <w:sz w:val="28"/>
          <w:szCs w:val="28"/>
        </w:rPr>
        <w:t>地球物理测井</w:t>
      </w:r>
      <w:r>
        <w:rPr>
          <w:rFonts w:hint="eastAsia" w:ascii="仿宋_GB2312" w:hAnsi="仿宋" w:cs="宋体"/>
          <w:color w:val="000000"/>
          <w:sz w:val="28"/>
          <w:szCs w:val="28"/>
        </w:rPr>
        <w:t>1640m,</w:t>
      </w:r>
      <w:r>
        <w:rPr>
          <w:rFonts w:hint="eastAsia" w:ascii="仿宋_GB2312" w:hAnsi="仿宋"/>
          <w:bCs/>
          <w:sz w:val="28"/>
          <w:szCs w:val="28"/>
        </w:rPr>
        <w:t>岩矿试验23个</w:t>
      </w:r>
      <w:r>
        <w:rPr>
          <w:rFonts w:hint="eastAsia" w:ascii="仿宋_GB2312" w:hAnsi="仿宋" w:cs="宋体"/>
          <w:color w:val="000000"/>
          <w:sz w:val="28"/>
          <w:szCs w:val="28"/>
        </w:rPr>
        <w:t>,</w:t>
      </w:r>
      <w:r>
        <w:rPr>
          <w:rFonts w:hint="eastAsia" w:ascii="仿宋_GB2312" w:hAnsi="仿宋"/>
          <w:bCs/>
          <w:sz w:val="28"/>
          <w:szCs w:val="28"/>
        </w:rPr>
        <w:t>工程测量10点</w:t>
      </w:r>
      <w:r>
        <w:rPr>
          <w:rFonts w:hint="eastAsia" w:ascii="仿宋_GB2312" w:hAnsi="仿宋" w:cs="宋体"/>
          <w:color w:val="000000"/>
          <w:sz w:val="28"/>
          <w:szCs w:val="28"/>
        </w:rPr>
        <w:t>。</w:t>
      </w:r>
    </w:p>
    <w:p w14:paraId="7CC0F4B3">
      <w:pPr>
        <w:spacing w:line="600" w:lineRule="exact"/>
        <w:ind w:firstLine="560" w:firstLineChars="200"/>
        <w:jc w:val="left"/>
        <w:rPr>
          <w:rStyle w:val="8"/>
          <w:rFonts w:ascii="仿宋_GB2312" w:hAnsi="黑体"/>
          <w:b w:val="0"/>
          <w:sz w:val="28"/>
          <w:szCs w:val="28"/>
        </w:rPr>
      </w:pPr>
      <w:r>
        <w:rPr>
          <w:rFonts w:hint="eastAsia" w:ascii="仿宋_GB2312" w:hAnsi="仿宋"/>
          <w:bCs/>
          <w:sz w:val="28"/>
          <w:szCs w:val="28"/>
          <w:lang w:val="sq-AL"/>
        </w:rPr>
        <w:t>项目实际完成率基本100%。</w:t>
      </w:r>
    </w:p>
    <w:p w14:paraId="3EA15705">
      <w:pPr>
        <w:spacing w:line="600" w:lineRule="exact"/>
        <w:ind w:firstLine="560" w:firstLineChars="200"/>
        <w:jc w:val="left"/>
        <w:rPr>
          <w:rStyle w:val="8"/>
          <w:rFonts w:ascii="仿宋_GB2312" w:hAnsi="黑体"/>
          <w:b w:val="0"/>
          <w:sz w:val="28"/>
          <w:szCs w:val="28"/>
        </w:rPr>
      </w:pPr>
      <w:r>
        <w:rPr>
          <w:rStyle w:val="8"/>
          <w:rFonts w:hint="eastAsia" w:ascii="仿宋_GB2312" w:hAnsi="黑体"/>
          <w:b w:val="0"/>
          <w:sz w:val="28"/>
          <w:szCs w:val="28"/>
        </w:rPr>
        <w:t>2.产出质量</w:t>
      </w:r>
    </w:p>
    <w:p w14:paraId="0E771460">
      <w:pPr>
        <w:autoSpaceDE w:val="0"/>
        <w:autoSpaceDN w:val="0"/>
        <w:adjustRightInd w:val="0"/>
        <w:spacing w:line="360" w:lineRule="auto"/>
        <w:ind w:firstLine="560" w:firstLineChars="200"/>
        <w:jc w:val="left"/>
        <w:rPr>
          <w:rFonts w:ascii="仿宋_GB2312" w:hAnsi="仿宋" w:cs="宋体"/>
          <w:color w:val="000000"/>
          <w:sz w:val="28"/>
          <w:szCs w:val="28"/>
        </w:rPr>
      </w:pPr>
      <w:r>
        <w:rPr>
          <w:rFonts w:hint="eastAsia" w:ascii="仿宋_GB2312" w:hAnsi="仿宋"/>
          <w:bCs/>
          <w:sz w:val="28"/>
          <w:szCs w:val="28"/>
        </w:rPr>
        <w:t>1∶25000地质草测140</w:t>
      </w:r>
      <w:r>
        <w:rPr>
          <w:rFonts w:hint="eastAsia" w:ascii="仿宋_GB2312" w:hAnsi="仿宋" w:cs="宋体"/>
          <w:color w:val="000000"/>
          <w:sz w:val="28"/>
          <w:szCs w:val="28"/>
        </w:rPr>
        <w:t>km</w:t>
      </w:r>
      <w:r>
        <w:rPr>
          <w:rFonts w:hint="eastAsia" w:ascii="仿宋_GB2312" w:hAnsi="仿宋" w:cs="宋体"/>
          <w:color w:val="000000"/>
          <w:sz w:val="28"/>
          <w:szCs w:val="28"/>
          <w:vertAlign w:val="superscript"/>
        </w:rPr>
        <w:t>2</w:t>
      </w:r>
      <w:r>
        <w:rPr>
          <w:rFonts w:hint="eastAsia" w:ascii="仿宋_GB2312" w:hAnsi="仿宋"/>
          <w:bCs/>
          <w:sz w:val="28"/>
          <w:szCs w:val="28"/>
        </w:rPr>
        <w:t>，地质填图符合设计和《规范》的要求，可以满足地质勘查工作的需要。质量为“优”；1∶5000勘查线剖面测量20.64</w:t>
      </w:r>
      <w:r>
        <w:rPr>
          <w:rFonts w:hint="eastAsia" w:ascii="仿宋_GB2312" w:hAnsi="仿宋" w:cs="宋体"/>
          <w:color w:val="000000"/>
          <w:sz w:val="28"/>
          <w:szCs w:val="28"/>
        </w:rPr>
        <w:t>km,</w:t>
      </w:r>
      <w:r>
        <w:rPr>
          <w:rFonts w:hint="eastAsia"/>
        </w:rPr>
        <w:t xml:space="preserve"> </w:t>
      </w:r>
      <w:r>
        <w:rPr>
          <w:rFonts w:hint="eastAsia" w:ascii="仿宋_GB2312" w:hAnsi="仿宋" w:cs="宋体"/>
          <w:color w:val="000000"/>
          <w:sz w:val="28"/>
          <w:szCs w:val="28"/>
        </w:rPr>
        <w:t>初步验收：资料齐全，成果可靠，图面整洁，无遗漏地质体，5条勘查线测量质量初步评级“优”；</w:t>
      </w:r>
      <w:r>
        <w:rPr>
          <w:rFonts w:hint="eastAsia" w:ascii="仿宋_GB2312" w:hAnsi="仿宋"/>
          <w:bCs/>
          <w:sz w:val="28"/>
          <w:szCs w:val="28"/>
        </w:rPr>
        <w:t>槽探工程</w:t>
      </w:r>
      <w:r>
        <w:rPr>
          <w:rFonts w:hint="eastAsia" w:ascii="仿宋_GB2312" w:hAnsi="仿宋" w:cs="宋体"/>
          <w:color w:val="000000"/>
          <w:sz w:val="28"/>
          <w:szCs w:val="28"/>
        </w:rPr>
        <w:t>512m</w:t>
      </w:r>
      <w:r>
        <w:rPr>
          <w:rFonts w:hint="eastAsia" w:ascii="仿宋_GB2312" w:hAnsi="仿宋" w:cs="宋体"/>
          <w:color w:val="000000"/>
          <w:sz w:val="28"/>
          <w:szCs w:val="28"/>
          <w:vertAlign w:val="superscript"/>
        </w:rPr>
        <w:t>3</w:t>
      </w:r>
      <w:r>
        <w:rPr>
          <w:rFonts w:hint="eastAsia" w:ascii="仿宋_GB2312" w:hAnsi="仿宋" w:cs="宋体"/>
          <w:color w:val="000000"/>
          <w:sz w:val="28"/>
          <w:szCs w:val="28"/>
        </w:rPr>
        <w:t>,槽探工程质量达到设计要求初步评级“优”；</w:t>
      </w:r>
      <w:r>
        <w:rPr>
          <w:rFonts w:hint="eastAsia" w:ascii="仿宋_GB2312" w:hAnsi="仿宋"/>
          <w:bCs/>
          <w:sz w:val="28"/>
          <w:szCs w:val="28"/>
        </w:rPr>
        <w:t>工程浅钻</w:t>
      </w:r>
      <w:r>
        <w:rPr>
          <w:rFonts w:hint="eastAsia" w:ascii="仿宋_GB2312" w:hAnsi="仿宋" w:cs="宋体"/>
          <w:color w:val="000000"/>
          <w:sz w:val="28"/>
          <w:szCs w:val="28"/>
        </w:rPr>
        <w:t>256m,</w:t>
      </w:r>
      <w:r>
        <w:rPr>
          <w:rFonts w:hint="eastAsia" w:ascii="仿宋_GB2312" w:hAnsi="仿宋"/>
          <w:bCs/>
          <w:sz w:val="28"/>
          <w:szCs w:val="28"/>
        </w:rPr>
        <w:t>工程浅钻</w:t>
      </w:r>
      <w:r>
        <w:rPr>
          <w:rFonts w:hint="eastAsia" w:ascii="仿宋_GB2312" w:hAnsi="仿宋" w:cs="宋体"/>
          <w:color w:val="000000"/>
          <w:sz w:val="28"/>
          <w:szCs w:val="28"/>
        </w:rPr>
        <w:t>质量达到设计要求初步评级“优”；</w:t>
      </w:r>
      <w:r>
        <w:rPr>
          <w:rFonts w:hint="eastAsia" w:ascii="仿宋_GB2312" w:hAnsi="仿宋"/>
          <w:bCs/>
          <w:sz w:val="28"/>
          <w:szCs w:val="28"/>
        </w:rPr>
        <w:t>矿产地质钻探</w:t>
      </w:r>
      <w:r>
        <w:rPr>
          <w:rFonts w:hint="eastAsia" w:ascii="仿宋_GB2312" w:hAnsi="仿宋" w:cs="宋体"/>
          <w:color w:val="000000"/>
          <w:sz w:val="28"/>
          <w:szCs w:val="28"/>
        </w:rPr>
        <w:t>1642.88m,已施工完成的3个钻孔；</w:t>
      </w:r>
      <w:r>
        <w:rPr>
          <w:rFonts w:hint="eastAsia" w:ascii="仿宋_GB2312" w:hAnsi="仿宋"/>
          <w:bCs/>
          <w:sz w:val="28"/>
          <w:szCs w:val="28"/>
        </w:rPr>
        <w:t>地球物理测井</w:t>
      </w:r>
      <w:r>
        <w:rPr>
          <w:rFonts w:hint="eastAsia" w:ascii="仿宋_GB2312" w:hAnsi="仿宋" w:cs="宋体"/>
          <w:color w:val="000000"/>
          <w:sz w:val="28"/>
          <w:szCs w:val="28"/>
        </w:rPr>
        <w:t>1640m, 已测井完成的3个钻孔，质量均为甲级；</w:t>
      </w:r>
      <w:r>
        <w:rPr>
          <w:rFonts w:hint="eastAsia" w:ascii="仿宋_GB2312" w:hAnsi="仿宋"/>
          <w:bCs/>
          <w:sz w:val="28"/>
          <w:szCs w:val="28"/>
        </w:rPr>
        <w:t>岩矿试验23个</w:t>
      </w:r>
      <w:r>
        <w:rPr>
          <w:rFonts w:hint="eastAsia" w:ascii="仿宋_GB2312" w:hAnsi="仿宋" w:cs="宋体"/>
          <w:color w:val="000000"/>
          <w:sz w:val="28"/>
          <w:szCs w:val="28"/>
        </w:rPr>
        <w:t>,按照采样规范采取，由具有化验测试甲级资质的新疆煤田地质局煤炭煤层气测试研究所承担；</w:t>
      </w:r>
    </w:p>
    <w:p w14:paraId="14BFA0D7">
      <w:pPr>
        <w:autoSpaceDE w:val="0"/>
        <w:autoSpaceDN w:val="0"/>
        <w:adjustRightInd w:val="0"/>
        <w:spacing w:line="360" w:lineRule="auto"/>
        <w:ind w:firstLine="560" w:firstLineChars="200"/>
        <w:jc w:val="left"/>
        <w:rPr>
          <w:rFonts w:ascii="仿宋_GB2312" w:hAnsi="仿宋"/>
          <w:bCs/>
          <w:sz w:val="28"/>
          <w:szCs w:val="28"/>
        </w:rPr>
      </w:pPr>
      <w:r>
        <w:rPr>
          <w:rFonts w:hint="eastAsia" w:ascii="仿宋_GB2312" w:hAnsi="仿宋"/>
          <w:bCs/>
          <w:sz w:val="28"/>
          <w:szCs w:val="28"/>
        </w:rPr>
        <w:t>按照《固体矿产报告编写规范》（GB/T0033－92）等相关规范编制大纲要求进行编制。包含文字、附图、附表及相关附件等。岩矿测试、化验等外委工作均附相应的专业总结报告。</w:t>
      </w:r>
    </w:p>
    <w:p w14:paraId="003413AD">
      <w:pPr>
        <w:spacing w:line="360" w:lineRule="auto"/>
        <w:ind w:firstLine="560" w:firstLineChars="200"/>
        <w:rPr>
          <w:rFonts w:ascii="仿宋_GB2312" w:hAnsi="仿宋"/>
          <w:bCs/>
          <w:sz w:val="28"/>
          <w:szCs w:val="28"/>
        </w:rPr>
      </w:pPr>
      <w:r>
        <w:rPr>
          <w:rFonts w:hint="eastAsia" w:ascii="仿宋_GB2312" w:hAnsi="仿宋"/>
          <w:bCs/>
          <w:sz w:val="28"/>
          <w:szCs w:val="28"/>
        </w:rPr>
        <w:t>3.产出时效</w:t>
      </w:r>
    </w:p>
    <w:p w14:paraId="018CD0EA">
      <w:pPr>
        <w:spacing w:line="360" w:lineRule="auto"/>
        <w:ind w:firstLine="560" w:firstLineChars="200"/>
        <w:rPr>
          <w:rFonts w:ascii="仿宋_GB2312" w:hAnsi="仿宋"/>
          <w:bCs/>
          <w:sz w:val="28"/>
          <w:szCs w:val="28"/>
        </w:rPr>
      </w:pPr>
      <w:r>
        <w:rPr>
          <w:rFonts w:hint="eastAsia" w:ascii="仿宋_GB2312" w:hAnsi="仿宋"/>
          <w:bCs/>
          <w:sz w:val="28"/>
          <w:szCs w:val="28"/>
        </w:rPr>
        <w:t>该项目计划施工周期为2019年5月—2020年4月，受疫情影响延续至2020年8月。2020年6月30日前完成野外竣工验收，2020年8月31日前提交预查报告送审稿。</w:t>
      </w:r>
    </w:p>
    <w:p w14:paraId="6E0877D1">
      <w:pPr>
        <w:spacing w:line="360" w:lineRule="auto"/>
        <w:ind w:firstLine="560" w:firstLineChars="200"/>
        <w:rPr>
          <w:rFonts w:ascii="仿宋_GB2312" w:hAnsi="仿宋"/>
          <w:bCs/>
          <w:sz w:val="28"/>
          <w:szCs w:val="28"/>
        </w:rPr>
      </w:pPr>
      <w:r>
        <w:rPr>
          <w:rFonts w:hint="eastAsia" w:ascii="仿宋_GB2312" w:hAnsi="仿宋"/>
          <w:bCs/>
          <w:sz w:val="28"/>
          <w:szCs w:val="28"/>
        </w:rPr>
        <w:t>该项目在计划工期内完成了工作任务。提供1处煤炭勘查基地：提高该区勘查程度，申请2020年基金中心项目。</w:t>
      </w:r>
    </w:p>
    <w:p w14:paraId="4B16C8DF">
      <w:pPr>
        <w:spacing w:line="360" w:lineRule="auto"/>
        <w:ind w:firstLine="560" w:firstLineChars="200"/>
        <w:rPr>
          <w:rFonts w:ascii="仿宋_GB2312" w:hAnsi="仿宋"/>
          <w:bCs/>
          <w:sz w:val="28"/>
          <w:szCs w:val="28"/>
        </w:rPr>
      </w:pPr>
      <w:r>
        <w:rPr>
          <w:rFonts w:hint="eastAsia" w:ascii="仿宋_GB2312" w:hAnsi="仿宋"/>
          <w:bCs/>
          <w:sz w:val="28"/>
          <w:szCs w:val="28"/>
        </w:rPr>
        <w:t>4.产出成本</w:t>
      </w:r>
    </w:p>
    <w:p w14:paraId="39395162">
      <w:pPr>
        <w:spacing w:line="360" w:lineRule="auto"/>
        <w:ind w:firstLine="560" w:firstLineChars="200"/>
        <w:rPr>
          <w:rFonts w:ascii="仿宋_GB2312" w:hAnsi="仿宋"/>
          <w:bCs/>
          <w:sz w:val="28"/>
          <w:szCs w:val="28"/>
        </w:rPr>
      </w:pPr>
      <w:r>
        <w:rPr>
          <w:rFonts w:hint="eastAsia" w:ascii="仿宋_GB2312" w:hAnsi="仿宋"/>
          <w:bCs/>
          <w:sz w:val="28"/>
          <w:szCs w:val="28"/>
        </w:rPr>
        <w:t>该项目计划成本</w:t>
      </w:r>
      <w:r>
        <w:rPr>
          <w:rFonts w:ascii="仿宋_GB2312" w:hAnsi="仿宋"/>
          <w:bCs/>
          <w:sz w:val="28"/>
          <w:szCs w:val="28"/>
        </w:rPr>
        <w:t>600</w:t>
      </w:r>
      <w:r>
        <w:rPr>
          <w:rFonts w:hint="eastAsia" w:ascii="仿宋_GB2312" w:hAnsi="仿宋"/>
          <w:bCs/>
          <w:sz w:val="28"/>
          <w:szCs w:val="28"/>
        </w:rPr>
        <w:t>万元，2019年计划成本400万元,2020年计划成本200万元,2019年实际成本435.37万元，成本节约率1.08%。</w:t>
      </w:r>
    </w:p>
    <w:p w14:paraId="634FFF6B">
      <w:pPr>
        <w:spacing w:line="600" w:lineRule="exact"/>
        <w:ind w:firstLine="562" w:firstLineChars="200"/>
        <w:jc w:val="left"/>
        <w:rPr>
          <w:rStyle w:val="8"/>
          <w:rFonts w:ascii="仿宋_GB2312" w:hAnsi="黑体"/>
          <w:sz w:val="28"/>
          <w:szCs w:val="28"/>
        </w:rPr>
      </w:pPr>
      <w:r>
        <w:rPr>
          <w:rStyle w:val="8"/>
          <w:rFonts w:hint="eastAsia" w:ascii="仿宋_GB2312" w:hAnsi="黑体"/>
          <w:sz w:val="28"/>
          <w:szCs w:val="28"/>
        </w:rPr>
        <w:t>（四）项目效益情况</w:t>
      </w:r>
    </w:p>
    <w:p w14:paraId="402FF6B7">
      <w:pPr>
        <w:spacing w:line="360" w:lineRule="auto"/>
        <w:ind w:firstLine="560" w:firstLineChars="200"/>
        <w:jc w:val="left"/>
        <w:rPr>
          <w:rStyle w:val="8"/>
          <w:rFonts w:ascii="仿宋_GB2312" w:hAnsi="黑体"/>
          <w:b w:val="0"/>
          <w:sz w:val="28"/>
        </w:rPr>
      </w:pPr>
      <w:r>
        <w:rPr>
          <w:rStyle w:val="8"/>
          <w:rFonts w:hint="eastAsia" w:ascii="仿宋_GB2312" w:hAnsi="黑体"/>
          <w:b w:val="0"/>
          <w:sz w:val="28"/>
        </w:rPr>
        <w:t>1.社会效益</w:t>
      </w:r>
    </w:p>
    <w:p w14:paraId="0C2E78C9">
      <w:pPr>
        <w:spacing w:line="360" w:lineRule="auto"/>
        <w:ind w:firstLine="560" w:firstLineChars="200"/>
        <w:rPr>
          <w:rFonts w:ascii="仿宋_GB2312" w:hAnsi="仿宋"/>
          <w:bCs/>
          <w:sz w:val="28"/>
          <w:szCs w:val="28"/>
        </w:rPr>
      </w:pPr>
      <w:r>
        <w:rPr>
          <w:rFonts w:hint="eastAsia" w:ascii="仿宋_GB2312" w:hAnsi="仿宋"/>
          <w:bCs/>
          <w:sz w:val="28"/>
          <w:szCs w:val="28"/>
        </w:rPr>
        <w:t>该项目位于新疆南疆西部，自然环境恶劣，是新疆维吾尔自治区严重缺煤地区，煤炭供需矛盾突出，通过对皮山县玉立群-比纳木一带含煤盆地开展预查工作，可解决南疆的缺煤问题，吸引社会资金参与投资，从而提供就业岗位、促进消费，可充分带动当地经济的发展。实施新型工业化建设战略，稳定南疆地区的政治形势，助力脱贫攻坚，提高人民生活水平做出贡献。</w:t>
      </w:r>
    </w:p>
    <w:p w14:paraId="0836B885">
      <w:pPr>
        <w:spacing w:line="360" w:lineRule="auto"/>
        <w:ind w:firstLine="560" w:firstLineChars="200"/>
        <w:jc w:val="left"/>
        <w:rPr>
          <w:rStyle w:val="8"/>
          <w:rFonts w:ascii="仿宋_GB2312" w:hAnsi="黑体"/>
          <w:b w:val="0"/>
          <w:sz w:val="28"/>
        </w:rPr>
      </w:pPr>
      <w:r>
        <w:rPr>
          <w:rStyle w:val="8"/>
          <w:rFonts w:hint="eastAsia" w:ascii="仿宋_GB2312" w:hAnsi="黑体"/>
          <w:b w:val="0"/>
          <w:sz w:val="28"/>
        </w:rPr>
        <w:t>2.经济效益</w:t>
      </w:r>
    </w:p>
    <w:p w14:paraId="278ACC6B">
      <w:pPr>
        <w:spacing w:line="360" w:lineRule="auto"/>
        <w:ind w:firstLine="560" w:firstLineChars="200"/>
        <w:rPr>
          <w:rFonts w:ascii="仿宋_GB2312" w:hAnsi="仿宋"/>
          <w:bCs/>
          <w:sz w:val="28"/>
          <w:szCs w:val="28"/>
        </w:rPr>
      </w:pPr>
      <w:r>
        <w:rPr>
          <w:rFonts w:hint="eastAsia" w:ascii="仿宋_GB2312" w:hAnsi="仿宋"/>
          <w:bCs/>
          <w:sz w:val="28"/>
          <w:szCs w:val="28"/>
        </w:rPr>
        <w:t>南疆工农业快速发展，各地区经济发展对煤炭资源需求的趋势呈现较高的增长态势，现阶段煤炭产量不能满足需求，煤炭资源供需矛盾突出，严重制约了当地经济和社会发展。通过对皮山县玉立群-比纳木一带含煤盆地开展勘查工作，查明皮山县玉立群-比纳木一带含煤盆地开展的煤炭资源量，有利当地政府对该矿区进行规划，并提高勘探程度，建设大型煤矿，推动当地经济和社会发展。</w:t>
      </w:r>
    </w:p>
    <w:p w14:paraId="5AAF8463">
      <w:pPr>
        <w:spacing w:line="360" w:lineRule="auto"/>
        <w:ind w:firstLine="560" w:firstLineChars="200"/>
        <w:jc w:val="left"/>
        <w:rPr>
          <w:rFonts w:ascii="仿宋_GB2312" w:hAnsi="仿宋" w:cs="MV Boli"/>
          <w:bCs/>
          <w:sz w:val="28"/>
          <w:szCs w:val="28"/>
        </w:rPr>
      </w:pPr>
      <w:r>
        <w:rPr>
          <w:rFonts w:hint="eastAsia" w:ascii="仿宋_GB2312" w:hAnsi="仿宋" w:cs="MV Boli"/>
          <w:bCs/>
          <w:sz w:val="28"/>
          <w:szCs w:val="28"/>
        </w:rPr>
        <w:t>3.环境效益</w:t>
      </w:r>
    </w:p>
    <w:p w14:paraId="39D69FCC">
      <w:pPr>
        <w:spacing w:line="600" w:lineRule="exact"/>
        <w:ind w:firstLine="560" w:firstLineChars="200"/>
        <w:jc w:val="left"/>
        <w:rPr>
          <w:rFonts w:ascii="仿宋_GB2312" w:hAnsi="仿宋"/>
          <w:bCs/>
          <w:sz w:val="28"/>
          <w:szCs w:val="28"/>
        </w:rPr>
      </w:pPr>
      <w:r>
        <w:rPr>
          <w:rFonts w:hint="eastAsia" w:ascii="仿宋_GB2312" w:hAnsi="仿宋"/>
          <w:bCs/>
          <w:sz w:val="28"/>
          <w:szCs w:val="28"/>
        </w:rPr>
        <w:t>通过对该区开展煤炭资源勘查工作，通过实行“积极保护、合理利用”的管理模式，坚持绿色勘查，开展环评、林评等前期评价，降低人类活对生态环境带来的破坏，维持自然生态平衡。</w:t>
      </w:r>
    </w:p>
    <w:p w14:paraId="335D4F2C">
      <w:pPr>
        <w:spacing w:line="600" w:lineRule="exact"/>
        <w:jc w:val="left"/>
        <w:rPr>
          <w:rStyle w:val="8"/>
          <w:rFonts w:ascii="仿宋_GB2312" w:hAnsi="黑体"/>
          <w:sz w:val="28"/>
          <w:szCs w:val="28"/>
        </w:rPr>
      </w:pPr>
      <w:r>
        <w:rPr>
          <w:rStyle w:val="8"/>
          <w:rFonts w:hint="eastAsia" w:ascii="仿宋_GB2312" w:hAnsi="黑体"/>
          <w:sz w:val="28"/>
          <w:szCs w:val="28"/>
        </w:rPr>
        <w:t xml:space="preserve">     五、主要经验及做法、存在的问题及原因分析</w:t>
      </w:r>
    </w:p>
    <w:p w14:paraId="30B7987A">
      <w:pPr>
        <w:spacing w:line="540" w:lineRule="exact"/>
        <w:ind w:firstLine="646" w:firstLineChars="231"/>
        <w:rPr>
          <w:rFonts w:ascii="仿宋_GB2312" w:hAnsi="仿宋" w:cs="MV Boli"/>
          <w:sz w:val="28"/>
          <w:szCs w:val="28"/>
        </w:rPr>
      </w:pPr>
      <w:r>
        <w:rPr>
          <w:rFonts w:hint="eastAsia" w:ascii="仿宋_GB2312" w:hAnsi="仿宋" w:cs="MV Boli"/>
          <w:sz w:val="28"/>
          <w:szCs w:val="28"/>
        </w:rPr>
        <w:t>紧抓落实，严格项目管理制度，积极与项目管理单位、监理单位及各地州自然资源部门沟通，确保项目实施过程管理与协调的高效；注重过程管理及检查，在项目不同阶段分不同侧重点进行有针对性地部署和安排，确保项目绩效得到有效落实。</w:t>
      </w:r>
    </w:p>
    <w:p w14:paraId="424BA82B">
      <w:pPr>
        <w:spacing w:line="540" w:lineRule="exact"/>
        <w:ind w:firstLine="646" w:firstLineChars="231"/>
        <w:rPr>
          <w:rFonts w:ascii="仿宋_GB2312" w:hAnsi="仿宋" w:cs="MV Boli"/>
          <w:sz w:val="28"/>
          <w:szCs w:val="28"/>
        </w:rPr>
      </w:pPr>
      <w:r>
        <w:rPr>
          <w:rFonts w:hint="eastAsia" w:ascii="仿宋_GB2312" w:hAnsi="仿宋" w:cs="MV Boli"/>
          <w:sz w:val="28"/>
          <w:szCs w:val="28"/>
        </w:rPr>
        <w:t>结合工程进展情况，预算员做好分阶段（半月）成本核算工作，认真做好“两算”对比分析，找出成本超差和节省的原因，提出下个工作阶段的工程成本管理的控制要点并及时向项目经理汇报。按期（每月）会同材料员做好库存盘点，在每个月底前向项目经理或副项目经理汇报。</w:t>
      </w:r>
    </w:p>
    <w:p w14:paraId="467CE1D7">
      <w:pPr>
        <w:spacing w:line="540" w:lineRule="exact"/>
        <w:ind w:firstLine="506" w:firstLineChars="181"/>
        <w:rPr>
          <w:rFonts w:ascii="仿宋_GB2312" w:hAnsi="仿宋" w:cs="MV Boli"/>
          <w:sz w:val="28"/>
          <w:szCs w:val="28"/>
        </w:rPr>
      </w:pPr>
      <w:r>
        <w:rPr>
          <w:rFonts w:hint="eastAsia" w:ascii="仿宋_GB2312" w:hAnsi="仿宋" w:cs="MV Boli"/>
          <w:sz w:val="28"/>
          <w:szCs w:val="28"/>
        </w:rPr>
        <w:t>严格执行项目绩效管理制度，确保项目绩效更加高效。</w:t>
      </w:r>
    </w:p>
    <w:p w14:paraId="00D77CF3">
      <w:pPr>
        <w:spacing w:line="540" w:lineRule="exact"/>
        <w:ind w:firstLine="506" w:firstLineChars="181"/>
        <w:rPr>
          <w:rFonts w:ascii="仿宋_GB2312" w:hAnsi="仿宋" w:cs="MV Boli"/>
          <w:sz w:val="28"/>
          <w:szCs w:val="28"/>
        </w:rPr>
      </w:pPr>
    </w:p>
    <w:p w14:paraId="1731A50B">
      <w:pPr>
        <w:spacing w:line="540" w:lineRule="exact"/>
        <w:ind w:firstLine="506" w:firstLineChars="181"/>
        <w:rPr>
          <w:rFonts w:ascii="仿宋_GB2312" w:hAnsi="仿宋" w:cs="MV Boli"/>
          <w:sz w:val="28"/>
          <w:szCs w:val="28"/>
        </w:rPr>
      </w:pPr>
    </w:p>
    <w:p w14:paraId="2992EC52">
      <w:pPr>
        <w:spacing w:line="540" w:lineRule="exact"/>
        <w:ind w:firstLine="506" w:firstLineChars="181"/>
        <w:rPr>
          <w:rFonts w:ascii="仿宋_GB2312" w:hAnsi="仿宋" w:cs="MV Boli"/>
          <w:sz w:val="28"/>
          <w:szCs w:val="28"/>
        </w:rPr>
      </w:pPr>
    </w:p>
    <w:p w14:paraId="5D993A9D">
      <w:pPr>
        <w:spacing w:line="540" w:lineRule="exact"/>
        <w:ind w:firstLine="506" w:firstLineChars="181"/>
        <w:rPr>
          <w:rFonts w:ascii="仿宋_GB2312" w:hAnsi="仿宋" w:cs="MV Boli"/>
          <w:sz w:val="28"/>
          <w:szCs w:val="28"/>
        </w:rPr>
      </w:pPr>
    </w:p>
    <w:p w14:paraId="61DB6D36">
      <w:pPr>
        <w:spacing w:line="540" w:lineRule="exact"/>
        <w:rPr>
          <w:rFonts w:ascii="仿宋_GB2312" w:hAnsi="仿宋" w:cs="MV Boli"/>
          <w:sz w:val="28"/>
          <w:szCs w:val="28"/>
        </w:rPr>
      </w:pPr>
    </w:p>
    <w:p w14:paraId="430BD475">
      <w:pPr>
        <w:spacing w:line="540" w:lineRule="exact"/>
        <w:rPr>
          <w:rFonts w:ascii="仿宋_GB2312" w:hAnsi="仿宋" w:cs="MV Boli"/>
          <w:sz w:val="28"/>
          <w:szCs w:val="28"/>
        </w:rPr>
      </w:pPr>
    </w:p>
    <w:p w14:paraId="66963DBC">
      <w:pPr>
        <w:spacing w:line="540" w:lineRule="exact"/>
        <w:rPr>
          <w:rFonts w:ascii="仿宋_GB2312" w:hAnsi="仿宋" w:cs="MV Boli"/>
          <w:sz w:val="28"/>
          <w:szCs w:val="28"/>
        </w:rPr>
      </w:pPr>
    </w:p>
    <w:tbl>
      <w:tblPr>
        <w:tblStyle w:val="6"/>
        <w:tblW w:w="9080" w:type="dxa"/>
        <w:jc w:val="center"/>
        <w:tblLayout w:type="fixed"/>
        <w:tblCellMar>
          <w:top w:w="0" w:type="dxa"/>
          <w:left w:w="108" w:type="dxa"/>
          <w:bottom w:w="0" w:type="dxa"/>
          <w:right w:w="108" w:type="dxa"/>
        </w:tblCellMar>
      </w:tblPr>
      <w:tblGrid>
        <w:gridCol w:w="588"/>
        <w:gridCol w:w="980"/>
        <w:gridCol w:w="700"/>
        <w:gridCol w:w="1142"/>
        <w:gridCol w:w="276"/>
        <w:gridCol w:w="858"/>
        <w:gridCol w:w="843"/>
        <w:gridCol w:w="1142"/>
        <w:gridCol w:w="283"/>
        <w:gridCol w:w="284"/>
        <w:gridCol w:w="425"/>
        <w:gridCol w:w="142"/>
        <w:gridCol w:w="709"/>
        <w:gridCol w:w="708"/>
      </w:tblGrid>
      <w:tr w14:paraId="3B7A66F0">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14:paraId="297355CE">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3FE0CE74">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14:paraId="5AB91572">
            <w:pPr>
              <w:widowControl/>
              <w:jc w:val="center"/>
              <w:rPr>
                <w:rFonts w:ascii="宋体" w:hAnsi="宋体" w:eastAsia="宋体" w:cs="宋体"/>
                <w:kern w:val="0"/>
                <w:sz w:val="22"/>
                <w:szCs w:val="22"/>
              </w:rPr>
            </w:pPr>
            <w:r>
              <w:rPr>
                <w:rFonts w:hint="eastAsia" w:ascii="宋体" w:hAnsi="宋体" w:eastAsia="宋体" w:cs="宋体"/>
                <w:kern w:val="0"/>
                <w:sz w:val="22"/>
                <w:szCs w:val="22"/>
              </w:rPr>
              <w:t>（2019年度）</w:t>
            </w:r>
          </w:p>
        </w:tc>
      </w:tr>
      <w:tr w14:paraId="2FDE3AC8">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14:paraId="523B860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14:paraId="1C6AEB1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新疆皮山县玉立群-比纳木一带煤炭资源预查</w:t>
            </w:r>
          </w:p>
        </w:tc>
      </w:tr>
      <w:tr w14:paraId="5500E960">
        <w:tblPrEx>
          <w:tblCellMar>
            <w:top w:w="0" w:type="dxa"/>
            <w:left w:w="108" w:type="dxa"/>
            <w:bottom w:w="0" w:type="dxa"/>
            <w:right w:w="108" w:type="dxa"/>
          </w:tblCellMar>
        </w:tblPrEx>
        <w:trPr>
          <w:trHeight w:val="529"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14:paraId="6C3F51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3819" w:type="dxa"/>
            <w:gridSpan w:val="5"/>
            <w:tcBorders>
              <w:top w:val="single" w:color="auto" w:sz="4" w:space="0"/>
              <w:left w:val="nil"/>
              <w:bottom w:val="single" w:color="auto" w:sz="4" w:space="0"/>
              <w:right w:val="single" w:color="auto" w:sz="4" w:space="0"/>
            </w:tcBorders>
            <w:vAlign w:val="center"/>
          </w:tcPr>
          <w:p w14:paraId="52B4C04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新疆维吾尔自治区地质勘查基金项目管理中心</w:t>
            </w:r>
          </w:p>
        </w:tc>
        <w:tc>
          <w:tcPr>
            <w:tcW w:w="1425" w:type="dxa"/>
            <w:gridSpan w:val="2"/>
            <w:tcBorders>
              <w:top w:val="nil"/>
              <w:left w:val="nil"/>
              <w:bottom w:val="single" w:color="auto" w:sz="4" w:space="0"/>
              <w:right w:val="single" w:color="auto" w:sz="4" w:space="0"/>
            </w:tcBorders>
            <w:vAlign w:val="center"/>
          </w:tcPr>
          <w:p w14:paraId="0D023F6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14:paraId="009C441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新疆维吾尔自治区煤田地质局综合地质勘查队</w:t>
            </w:r>
          </w:p>
        </w:tc>
      </w:tr>
      <w:tr w14:paraId="04474657">
        <w:tblPrEx>
          <w:tblCellMar>
            <w:top w:w="0" w:type="dxa"/>
            <w:left w:w="108" w:type="dxa"/>
            <w:bottom w:w="0" w:type="dxa"/>
            <w:right w:w="108" w:type="dxa"/>
          </w:tblCellMar>
        </w:tblPrEx>
        <w:trPr>
          <w:trHeight w:val="56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14:paraId="233F572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14:paraId="1E92A4CB">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14:paraId="34C72C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843" w:type="dxa"/>
            <w:tcBorders>
              <w:top w:val="nil"/>
              <w:left w:val="nil"/>
              <w:bottom w:val="single" w:color="auto" w:sz="4" w:space="0"/>
              <w:right w:val="single" w:color="auto" w:sz="4" w:space="0"/>
            </w:tcBorders>
            <w:vAlign w:val="center"/>
          </w:tcPr>
          <w:p w14:paraId="1319EB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425" w:type="dxa"/>
            <w:gridSpan w:val="2"/>
            <w:tcBorders>
              <w:top w:val="nil"/>
              <w:left w:val="nil"/>
              <w:bottom w:val="single" w:color="auto" w:sz="4" w:space="0"/>
              <w:right w:val="single" w:color="auto" w:sz="4" w:space="0"/>
            </w:tcBorders>
            <w:vAlign w:val="center"/>
          </w:tcPr>
          <w:p w14:paraId="7884068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14:paraId="2D678A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14:paraId="559E0AA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14:paraId="5F46C99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2A37AB4D">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086281C7">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14:paraId="6F62DD3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gridSpan w:val="2"/>
            <w:tcBorders>
              <w:top w:val="nil"/>
              <w:left w:val="nil"/>
              <w:bottom w:val="single" w:color="auto" w:sz="4" w:space="0"/>
              <w:right w:val="single" w:color="auto" w:sz="4" w:space="0"/>
            </w:tcBorders>
            <w:vAlign w:val="center"/>
          </w:tcPr>
          <w:p w14:paraId="7F18519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600</w:t>
            </w:r>
          </w:p>
        </w:tc>
        <w:tc>
          <w:tcPr>
            <w:tcW w:w="843" w:type="dxa"/>
            <w:tcBorders>
              <w:top w:val="nil"/>
              <w:left w:val="nil"/>
              <w:bottom w:val="single" w:color="auto" w:sz="4" w:space="0"/>
              <w:right w:val="single" w:color="auto" w:sz="4" w:space="0"/>
            </w:tcBorders>
            <w:vAlign w:val="center"/>
          </w:tcPr>
          <w:p w14:paraId="6692AE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400</w:t>
            </w:r>
          </w:p>
        </w:tc>
        <w:tc>
          <w:tcPr>
            <w:tcW w:w="1425" w:type="dxa"/>
            <w:gridSpan w:val="2"/>
            <w:tcBorders>
              <w:top w:val="nil"/>
              <w:left w:val="nil"/>
              <w:bottom w:val="single" w:color="auto" w:sz="4" w:space="0"/>
              <w:right w:val="single" w:color="auto" w:sz="4" w:space="0"/>
            </w:tcBorders>
            <w:vAlign w:val="center"/>
          </w:tcPr>
          <w:p w14:paraId="410308DD">
            <w:pPr>
              <w:widowControl/>
              <w:spacing w:line="240" w:lineRule="exact"/>
              <w:jc w:val="center"/>
              <w:rPr>
                <w:rFonts w:ascii="宋体" w:hAnsi="宋体" w:eastAsia="宋体" w:cs="宋体"/>
                <w:kern w:val="0"/>
                <w:sz w:val="18"/>
                <w:szCs w:val="18"/>
              </w:rPr>
            </w:pPr>
            <w:bookmarkStart w:id="8" w:name="_Hlk37521549"/>
            <w:r>
              <w:rPr>
                <w:rFonts w:hint="eastAsia" w:ascii="宋体" w:hAnsi="宋体" w:eastAsia="宋体" w:cs="宋体"/>
                <w:kern w:val="0"/>
                <w:sz w:val="18"/>
                <w:szCs w:val="18"/>
              </w:rPr>
              <w:t>435.37</w:t>
            </w:r>
            <w:bookmarkEnd w:id="8"/>
          </w:p>
        </w:tc>
        <w:tc>
          <w:tcPr>
            <w:tcW w:w="709" w:type="dxa"/>
            <w:gridSpan w:val="2"/>
            <w:tcBorders>
              <w:top w:val="nil"/>
              <w:left w:val="nil"/>
              <w:bottom w:val="single" w:color="auto" w:sz="4" w:space="0"/>
              <w:right w:val="single" w:color="auto" w:sz="4" w:space="0"/>
            </w:tcBorders>
            <w:vAlign w:val="center"/>
          </w:tcPr>
          <w:p w14:paraId="024D34F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14:paraId="2FC0F7B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109%</w:t>
            </w:r>
          </w:p>
        </w:tc>
        <w:tc>
          <w:tcPr>
            <w:tcW w:w="708" w:type="dxa"/>
            <w:tcBorders>
              <w:top w:val="nil"/>
              <w:left w:val="nil"/>
              <w:bottom w:val="single" w:color="auto" w:sz="4" w:space="0"/>
              <w:right w:val="single" w:color="auto" w:sz="4" w:space="0"/>
            </w:tcBorders>
            <w:vAlign w:val="center"/>
          </w:tcPr>
          <w:p w14:paraId="45D3C40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15853635">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4532D593">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14:paraId="224DBA7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gridSpan w:val="2"/>
            <w:tcBorders>
              <w:top w:val="nil"/>
              <w:left w:val="nil"/>
              <w:bottom w:val="single" w:color="auto" w:sz="4" w:space="0"/>
              <w:right w:val="single" w:color="auto" w:sz="4" w:space="0"/>
            </w:tcBorders>
            <w:vAlign w:val="center"/>
          </w:tcPr>
          <w:p w14:paraId="6FB7031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600</w:t>
            </w:r>
          </w:p>
        </w:tc>
        <w:tc>
          <w:tcPr>
            <w:tcW w:w="843" w:type="dxa"/>
            <w:tcBorders>
              <w:top w:val="nil"/>
              <w:left w:val="nil"/>
              <w:bottom w:val="single" w:color="auto" w:sz="4" w:space="0"/>
              <w:right w:val="single" w:color="auto" w:sz="4" w:space="0"/>
            </w:tcBorders>
            <w:vAlign w:val="center"/>
          </w:tcPr>
          <w:p w14:paraId="3E453C7B">
            <w:pPr>
              <w:widowControl/>
              <w:spacing w:line="240" w:lineRule="exact"/>
              <w:jc w:val="center"/>
              <w:rPr>
                <w:rFonts w:ascii="宋体" w:hAnsi="宋体" w:eastAsia="宋体" w:cs="宋体"/>
                <w:kern w:val="0"/>
                <w:sz w:val="18"/>
                <w:szCs w:val="18"/>
              </w:rPr>
            </w:pPr>
          </w:p>
        </w:tc>
        <w:tc>
          <w:tcPr>
            <w:tcW w:w="1425" w:type="dxa"/>
            <w:gridSpan w:val="2"/>
            <w:tcBorders>
              <w:top w:val="nil"/>
              <w:left w:val="nil"/>
              <w:bottom w:val="single" w:color="auto" w:sz="4" w:space="0"/>
              <w:right w:val="single" w:color="auto" w:sz="4" w:space="0"/>
            </w:tcBorders>
            <w:vAlign w:val="center"/>
          </w:tcPr>
          <w:p w14:paraId="252C87F2">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14:paraId="416442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14:paraId="5BE3F05A">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14:paraId="2A7BDE1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6BA66A1">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5A54E7A">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14:paraId="4A90349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上年结转资金</w:t>
            </w:r>
          </w:p>
        </w:tc>
        <w:tc>
          <w:tcPr>
            <w:tcW w:w="1134" w:type="dxa"/>
            <w:gridSpan w:val="2"/>
            <w:tcBorders>
              <w:top w:val="nil"/>
              <w:left w:val="nil"/>
              <w:bottom w:val="single" w:color="auto" w:sz="4" w:space="0"/>
              <w:right w:val="single" w:color="auto" w:sz="4" w:space="0"/>
            </w:tcBorders>
            <w:vAlign w:val="center"/>
          </w:tcPr>
          <w:p w14:paraId="6D92E5C8">
            <w:pPr>
              <w:widowControl/>
              <w:spacing w:line="240" w:lineRule="exact"/>
              <w:jc w:val="center"/>
              <w:rPr>
                <w:rFonts w:ascii="宋体" w:hAnsi="宋体" w:eastAsia="宋体" w:cs="宋体"/>
                <w:color w:val="FF0000"/>
                <w:kern w:val="0"/>
                <w:sz w:val="18"/>
                <w:szCs w:val="18"/>
              </w:rPr>
            </w:pPr>
          </w:p>
        </w:tc>
        <w:tc>
          <w:tcPr>
            <w:tcW w:w="843" w:type="dxa"/>
            <w:tcBorders>
              <w:top w:val="nil"/>
              <w:left w:val="nil"/>
              <w:bottom w:val="single" w:color="auto" w:sz="4" w:space="0"/>
              <w:right w:val="single" w:color="auto" w:sz="4" w:space="0"/>
            </w:tcBorders>
            <w:vAlign w:val="center"/>
          </w:tcPr>
          <w:p w14:paraId="4EB62FDB">
            <w:pPr>
              <w:widowControl/>
              <w:spacing w:line="240" w:lineRule="exact"/>
              <w:jc w:val="center"/>
              <w:rPr>
                <w:rFonts w:ascii="宋体" w:hAnsi="宋体" w:eastAsia="宋体" w:cs="宋体"/>
                <w:color w:val="FF0000"/>
                <w:kern w:val="0"/>
                <w:sz w:val="18"/>
                <w:szCs w:val="18"/>
              </w:rPr>
            </w:pPr>
          </w:p>
        </w:tc>
        <w:tc>
          <w:tcPr>
            <w:tcW w:w="1425" w:type="dxa"/>
            <w:gridSpan w:val="2"/>
            <w:tcBorders>
              <w:top w:val="nil"/>
              <w:left w:val="nil"/>
              <w:bottom w:val="single" w:color="auto" w:sz="4" w:space="0"/>
              <w:right w:val="single" w:color="auto" w:sz="4" w:space="0"/>
            </w:tcBorders>
            <w:vAlign w:val="center"/>
          </w:tcPr>
          <w:p w14:paraId="654106C1">
            <w:pPr>
              <w:widowControl/>
              <w:spacing w:line="240" w:lineRule="exact"/>
              <w:jc w:val="center"/>
              <w:rPr>
                <w:rFonts w:ascii="宋体" w:hAnsi="宋体" w:eastAsia="宋体" w:cs="宋体"/>
                <w:color w:val="FF0000"/>
                <w:kern w:val="0"/>
                <w:sz w:val="18"/>
                <w:szCs w:val="18"/>
              </w:rPr>
            </w:pPr>
          </w:p>
        </w:tc>
        <w:tc>
          <w:tcPr>
            <w:tcW w:w="709" w:type="dxa"/>
            <w:gridSpan w:val="2"/>
            <w:tcBorders>
              <w:top w:val="nil"/>
              <w:left w:val="nil"/>
              <w:bottom w:val="single" w:color="auto" w:sz="4" w:space="0"/>
              <w:right w:val="single" w:color="auto" w:sz="4" w:space="0"/>
            </w:tcBorders>
            <w:vAlign w:val="center"/>
          </w:tcPr>
          <w:p w14:paraId="444BBFC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14:paraId="44003FAD">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14:paraId="1DC76BC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284C232C">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7C0590EE">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14:paraId="22BD371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其他资金</w:t>
            </w:r>
          </w:p>
        </w:tc>
        <w:tc>
          <w:tcPr>
            <w:tcW w:w="1134" w:type="dxa"/>
            <w:gridSpan w:val="2"/>
            <w:tcBorders>
              <w:top w:val="nil"/>
              <w:left w:val="nil"/>
              <w:bottom w:val="single" w:color="auto" w:sz="4" w:space="0"/>
              <w:right w:val="single" w:color="auto" w:sz="4" w:space="0"/>
            </w:tcBorders>
            <w:vAlign w:val="center"/>
          </w:tcPr>
          <w:p w14:paraId="02B2F1DC">
            <w:pPr>
              <w:widowControl/>
              <w:spacing w:line="240" w:lineRule="exact"/>
              <w:jc w:val="center"/>
              <w:rPr>
                <w:rFonts w:ascii="宋体" w:hAnsi="宋体" w:eastAsia="宋体" w:cs="宋体"/>
                <w:kern w:val="0"/>
                <w:sz w:val="18"/>
                <w:szCs w:val="18"/>
              </w:rPr>
            </w:pPr>
          </w:p>
        </w:tc>
        <w:tc>
          <w:tcPr>
            <w:tcW w:w="843" w:type="dxa"/>
            <w:tcBorders>
              <w:top w:val="nil"/>
              <w:left w:val="nil"/>
              <w:bottom w:val="single" w:color="auto" w:sz="4" w:space="0"/>
              <w:right w:val="single" w:color="auto" w:sz="4" w:space="0"/>
            </w:tcBorders>
            <w:vAlign w:val="center"/>
          </w:tcPr>
          <w:p w14:paraId="4446EDEF">
            <w:pPr>
              <w:widowControl/>
              <w:spacing w:line="240" w:lineRule="exact"/>
              <w:jc w:val="center"/>
              <w:rPr>
                <w:rFonts w:ascii="宋体" w:hAnsi="宋体" w:eastAsia="宋体" w:cs="宋体"/>
                <w:kern w:val="0"/>
                <w:sz w:val="18"/>
                <w:szCs w:val="18"/>
              </w:rPr>
            </w:pPr>
          </w:p>
        </w:tc>
        <w:tc>
          <w:tcPr>
            <w:tcW w:w="1425" w:type="dxa"/>
            <w:gridSpan w:val="2"/>
            <w:tcBorders>
              <w:top w:val="nil"/>
              <w:left w:val="nil"/>
              <w:bottom w:val="single" w:color="auto" w:sz="4" w:space="0"/>
              <w:right w:val="single" w:color="auto" w:sz="4" w:space="0"/>
            </w:tcBorders>
            <w:vAlign w:val="center"/>
          </w:tcPr>
          <w:p w14:paraId="2CBC29AE">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14:paraId="7BE7325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14:paraId="6DA6A146">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14:paraId="673111C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4F0C3609">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14:paraId="1557EED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4799" w:type="dxa"/>
            <w:gridSpan w:val="6"/>
            <w:tcBorders>
              <w:top w:val="single" w:color="auto" w:sz="4" w:space="0"/>
              <w:left w:val="nil"/>
              <w:bottom w:val="single" w:color="auto" w:sz="4" w:space="0"/>
              <w:right w:val="single" w:color="auto" w:sz="4" w:space="0"/>
            </w:tcBorders>
            <w:vAlign w:val="center"/>
          </w:tcPr>
          <w:p w14:paraId="7A6149A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693" w:type="dxa"/>
            <w:gridSpan w:val="7"/>
            <w:tcBorders>
              <w:top w:val="single" w:color="auto" w:sz="4" w:space="0"/>
              <w:left w:val="nil"/>
              <w:bottom w:val="single" w:color="auto" w:sz="4" w:space="0"/>
              <w:right w:val="single" w:color="auto" w:sz="4" w:space="0"/>
            </w:tcBorders>
            <w:vAlign w:val="center"/>
          </w:tcPr>
          <w:p w14:paraId="5E2E38A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548F8A12">
        <w:tblPrEx>
          <w:tblCellMar>
            <w:top w:w="0" w:type="dxa"/>
            <w:left w:w="108" w:type="dxa"/>
            <w:bottom w:w="0" w:type="dxa"/>
            <w:right w:w="108" w:type="dxa"/>
          </w:tblCellMar>
        </w:tblPrEx>
        <w:trPr>
          <w:trHeight w:val="760" w:hRule="exact"/>
          <w:jc w:val="center"/>
        </w:trPr>
        <w:tc>
          <w:tcPr>
            <w:tcW w:w="588" w:type="dxa"/>
            <w:vMerge w:val="continue"/>
            <w:tcBorders>
              <w:top w:val="nil"/>
              <w:left w:val="single" w:color="auto" w:sz="4" w:space="0"/>
              <w:bottom w:val="single" w:color="auto" w:sz="4" w:space="0"/>
              <w:right w:val="single" w:color="auto" w:sz="4" w:space="0"/>
            </w:tcBorders>
            <w:vAlign w:val="center"/>
          </w:tcPr>
          <w:p w14:paraId="427A24B5">
            <w:pPr>
              <w:widowControl/>
              <w:spacing w:line="240" w:lineRule="exact"/>
              <w:jc w:val="center"/>
              <w:rPr>
                <w:rFonts w:ascii="宋体" w:hAnsi="宋体" w:eastAsia="宋体" w:cs="宋体"/>
                <w:kern w:val="0"/>
                <w:sz w:val="18"/>
                <w:szCs w:val="18"/>
              </w:rPr>
            </w:pPr>
          </w:p>
        </w:tc>
        <w:tc>
          <w:tcPr>
            <w:tcW w:w="4799" w:type="dxa"/>
            <w:gridSpan w:val="6"/>
            <w:tcBorders>
              <w:top w:val="single" w:color="auto" w:sz="4" w:space="0"/>
              <w:left w:val="nil"/>
              <w:bottom w:val="single" w:color="auto" w:sz="4" w:space="0"/>
              <w:right w:val="single" w:color="auto" w:sz="4" w:space="0"/>
            </w:tcBorders>
            <w:vAlign w:val="center"/>
          </w:tcPr>
          <w:p w14:paraId="1BF648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1∶25000地质填图140km</w:t>
            </w:r>
            <w:r>
              <w:rPr>
                <w:rFonts w:hint="eastAsia" w:ascii="宋体" w:hAnsi="宋体" w:eastAsia="宋体" w:cs="宋体"/>
                <w:kern w:val="0"/>
                <w:sz w:val="18"/>
                <w:szCs w:val="18"/>
                <w:vertAlign w:val="superscript"/>
              </w:rPr>
              <w:t>2</w:t>
            </w:r>
            <w:r>
              <w:rPr>
                <w:rFonts w:hint="eastAsia" w:ascii="宋体" w:hAnsi="宋体" w:eastAsia="宋体" w:cs="宋体"/>
                <w:kern w:val="0"/>
                <w:sz w:val="18"/>
                <w:szCs w:val="18"/>
              </w:rPr>
              <w:t>；槽探500m</w:t>
            </w:r>
            <w:r>
              <w:rPr>
                <w:rFonts w:hint="eastAsia" w:ascii="宋体" w:hAnsi="宋体" w:eastAsia="宋体" w:cs="宋体"/>
                <w:kern w:val="0"/>
                <w:sz w:val="18"/>
                <w:szCs w:val="18"/>
                <w:vertAlign w:val="superscript"/>
              </w:rPr>
              <w:t>3</w:t>
            </w:r>
            <w:r>
              <w:rPr>
                <w:rFonts w:hint="eastAsia" w:ascii="宋体" w:hAnsi="宋体" w:eastAsia="宋体" w:cs="宋体"/>
                <w:kern w:val="0"/>
                <w:sz w:val="18"/>
                <w:szCs w:val="18"/>
              </w:rPr>
              <w:t>；浅井工程210m，机械岩芯钻探3200m；地球物理测井3000m。</w:t>
            </w:r>
          </w:p>
          <w:p w14:paraId="28874425">
            <w:pPr>
              <w:widowControl/>
              <w:spacing w:line="240" w:lineRule="exact"/>
              <w:jc w:val="center"/>
              <w:rPr>
                <w:rFonts w:ascii="宋体" w:hAnsi="宋体" w:eastAsia="宋体" w:cs="宋体"/>
                <w:kern w:val="0"/>
                <w:sz w:val="18"/>
                <w:szCs w:val="18"/>
              </w:rPr>
            </w:pPr>
          </w:p>
          <w:p w14:paraId="24EDE1EA">
            <w:pPr>
              <w:widowControl/>
              <w:spacing w:line="240" w:lineRule="exact"/>
              <w:jc w:val="center"/>
              <w:rPr>
                <w:rFonts w:ascii="宋体" w:hAnsi="宋体" w:eastAsia="宋体" w:cs="宋体"/>
                <w:kern w:val="0"/>
                <w:sz w:val="18"/>
                <w:szCs w:val="18"/>
              </w:rPr>
            </w:pPr>
          </w:p>
        </w:tc>
        <w:tc>
          <w:tcPr>
            <w:tcW w:w="3693" w:type="dxa"/>
            <w:gridSpan w:val="7"/>
            <w:tcBorders>
              <w:top w:val="single" w:color="auto" w:sz="4" w:space="0"/>
              <w:left w:val="nil"/>
              <w:bottom w:val="single" w:color="auto" w:sz="4" w:space="0"/>
              <w:right w:val="single" w:color="auto" w:sz="4" w:space="0"/>
            </w:tcBorders>
            <w:vAlign w:val="center"/>
          </w:tcPr>
          <w:p w14:paraId="4251046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1∶25000地质填140km</w:t>
            </w:r>
            <w:r>
              <w:rPr>
                <w:rFonts w:hint="eastAsia" w:ascii="宋体" w:hAnsi="宋体" w:eastAsia="宋体" w:cs="宋体"/>
                <w:kern w:val="0"/>
                <w:sz w:val="18"/>
                <w:szCs w:val="18"/>
                <w:vertAlign w:val="superscript"/>
              </w:rPr>
              <w:t>2</w:t>
            </w:r>
            <w:r>
              <w:rPr>
                <w:rFonts w:hint="eastAsia" w:ascii="宋体" w:hAnsi="宋体" w:eastAsia="宋体" w:cs="宋体"/>
                <w:kern w:val="0"/>
                <w:sz w:val="18"/>
                <w:szCs w:val="18"/>
              </w:rPr>
              <w:t>；槽探512m</w:t>
            </w:r>
            <w:r>
              <w:rPr>
                <w:rFonts w:hint="eastAsia" w:ascii="宋体" w:hAnsi="宋体" w:eastAsia="宋体" w:cs="宋体"/>
                <w:kern w:val="0"/>
                <w:sz w:val="18"/>
                <w:szCs w:val="18"/>
                <w:vertAlign w:val="superscript"/>
              </w:rPr>
              <w:t>3</w:t>
            </w:r>
            <w:r>
              <w:rPr>
                <w:rFonts w:hint="eastAsia" w:ascii="宋体" w:hAnsi="宋体" w:eastAsia="宋体" w:cs="宋体"/>
                <w:kern w:val="0"/>
                <w:sz w:val="18"/>
                <w:szCs w:val="18"/>
              </w:rPr>
              <w:t>；浅井工程256m，机械岩芯钻探1642.88m；地球物理测井1640m。</w:t>
            </w:r>
          </w:p>
          <w:p w14:paraId="204A3DB8">
            <w:pPr>
              <w:widowControl/>
              <w:spacing w:line="240" w:lineRule="exact"/>
              <w:jc w:val="center"/>
              <w:rPr>
                <w:rFonts w:ascii="宋体" w:hAnsi="宋体" w:eastAsia="宋体" w:cs="宋体"/>
                <w:kern w:val="0"/>
                <w:sz w:val="18"/>
                <w:szCs w:val="18"/>
              </w:rPr>
            </w:pPr>
          </w:p>
          <w:p w14:paraId="4E87B526">
            <w:pPr>
              <w:widowControl/>
              <w:spacing w:line="240" w:lineRule="exact"/>
              <w:jc w:val="center"/>
              <w:rPr>
                <w:rFonts w:ascii="宋体" w:hAnsi="宋体" w:eastAsia="宋体" w:cs="宋体"/>
                <w:kern w:val="0"/>
                <w:sz w:val="18"/>
                <w:szCs w:val="18"/>
              </w:rPr>
            </w:pPr>
          </w:p>
        </w:tc>
      </w:tr>
      <w:tr w14:paraId="4F8A5867">
        <w:tblPrEx>
          <w:tblCellMar>
            <w:top w:w="0" w:type="dxa"/>
            <w:left w:w="108" w:type="dxa"/>
            <w:bottom w:w="0" w:type="dxa"/>
            <w:right w:w="108" w:type="dxa"/>
          </w:tblCellMar>
        </w:tblPrEx>
        <w:trPr>
          <w:trHeight w:val="533"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14:paraId="3BC8501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single" w:color="auto" w:sz="4" w:space="0"/>
              <w:left w:val="nil"/>
              <w:bottom w:val="single" w:color="auto" w:sz="4" w:space="0"/>
              <w:right w:val="single" w:color="auto" w:sz="4" w:space="0"/>
            </w:tcBorders>
            <w:vAlign w:val="center"/>
          </w:tcPr>
          <w:p w14:paraId="4DE5586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700" w:type="dxa"/>
            <w:tcBorders>
              <w:top w:val="single" w:color="auto" w:sz="4" w:space="0"/>
              <w:left w:val="nil"/>
              <w:bottom w:val="single" w:color="auto" w:sz="4" w:space="0"/>
              <w:right w:val="single" w:color="auto" w:sz="4" w:space="0"/>
            </w:tcBorders>
            <w:vAlign w:val="center"/>
          </w:tcPr>
          <w:p w14:paraId="3F7290F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418" w:type="dxa"/>
            <w:gridSpan w:val="2"/>
            <w:tcBorders>
              <w:top w:val="single" w:color="auto" w:sz="4" w:space="0"/>
              <w:left w:val="nil"/>
              <w:bottom w:val="single" w:color="auto" w:sz="4" w:space="0"/>
              <w:right w:val="single" w:color="auto" w:sz="4" w:space="0"/>
            </w:tcBorders>
            <w:vAlign w:val="center"/>
          </w:tcPr>
          <w:p w14:paraId="4155D3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701" w:type="dxa"/>
            <w:gridSpan w:val="2"/>
            <w:tcBorders>
              <w:top w:val="single" w:color="auto" w:sz="4" w:space="0"/>
              <w:left w:val="nil"/>
              <w:bottom w:val="single" w:color="auto" w:sz="4" w:space="0"/>
              <w:right w:val="single" w:color="auto" w:sz="4" w:space="0"/>
            </w:tcBorders>
            <w:vAlign w:val="center"/>
          </w:tcPr>
          <w:p w14:paraId="015E793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5788C39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142" w:type="dxa"/>
            <w:tcBorders>
              <w:top w:val="single" w:color="auto" w:sz="4" w:space="0"/>
              <w:left w:val="nil"/>
              <w:bottom w:val="single" w:color="auto" w:sz="4" w:space="0"/>
              <w:right w:val="single" w:color="auto" w:sz="4" w:space="0"/>
            </w:tcBorders>
            <w:vAlign w:val="center"/>
          </w:tcPr>
          <w:p w14:paraId="732512A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124CF13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single" w:color="auto" w:sz="4" w:space="0"/>
              <w:left w:val="nil"/>
              <w:bottom w:val="single" w:color="auto" w:sz="4" w:space="0"/>
              <w:right w:val="single" w:color="auto" w:sz="4" w:space="0"/>
            </w:tcBorders>
            <w:vAlign w:val="center"/>
          </w:tcPr>
          <w:p w14:paraId="65BC5F3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single" w:color="auto" w:sz="4" w:space="0"/>
              <w:left w:val="nil"/>
              <w:bottom w:val="single" w:color="auto" w:sz="4" w:space="0"/>
              <w:right w:val="single" w:color="auto" w:sz="4" w:space="0"/>
            </w:tcBorders>
            <w:vAlign w:val="center"/>
          </w:tcPr>
          <w:p w14:paraId="7D20593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14:paraId="7139123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22E1E29B">
        <w:tblPrEx>
          <w:tblCellMar>
            <w:top w:w="0" w:type="dxa"/>
            <w:left w:w="108" w:type="dxa"/>
            <w:bottom w:w="0" w:type="dxa"/>
            <w:right w:w="108" w:type="dxa"/>
          </w:tblCellMar>
        </w:tblPrEx>
        <w:trPr>
          <w:trHeight w:val="300"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2292DC5C">
            <w:pPr>
              <w:widowControl/>
              <w:spacing w:line="240" w:lineRule="exact"/>
              <w:jc w:val="center"/>
              <w:rPr>
                <w:rFonts w:ascii="宋体" w:hAnsi="宋体" w:eastAsia="宋体" w:cs="宋体"/>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14:paraId="6C03937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700" w:type="dxa"/>
            <w:vMerge w:val="restart"/>
            <w:tcBorders>
              <w:top w:val="single" w:color="auto" w:sz="4" w:space="0"/>
              <w:left w:val="single" w:color="auto" w:sz="4" w:space="0"/>
              <w:bottom w:val="single" w:color="auto" w:sz="4" w:space="0"/>
              <w:right w:val="single" w:color="auto" w:sz="4" w:space="0"/>
            </w:tcBorders>
            <w:vAlign w:val="center"/>
          </w:tcPr>
          <w:p w14:paraId="2EA6FDC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418" w:type="dxa"/>
            <w:gridSpan w:val="2"/>
            <w:tcBorders>
              <w:top w:val="single" w:color="auto" w:sz="4" w:space="0"/>
              <w:left w:val="nil"/>
              <w:bottom w:val="single" w:color="auto" w:sz="4" w:space="0"/>
              <w:right w:val="single" w:color="auto" w:sz="4" w:space="0"/>
            </w:tcBorders>
            <w:vAlign w:val="center"/>
          </w:tcPr>
          <w:p w14:paraId="29E24AD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地质填图</w:t>
            </w:r>
          </w:p>
        </w:tc>
        <w:tc>
          <w:tcPr>
            <w:tcW w:w="1701" w:type="dxa"/>
            <w:gridSpan w:val="2"/>
            <w:tcBorders>
              <w:top w:val="single" w:color="auto" w:sz="4" w:space="0"/>
              <w:left w:val="nil"/>
              <w:bottom w:val="single" w:color="auto" w:sz="4" w:space="0"/>
              <w:right w:val="single" w:color="auto" w:sz="4" w:space="0"/>
            </w:tcBorders>
            <w:vAlign w:val="center"/>
          </w:tcPr>
          <w:p w14:paraId="0D7CB4EB">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140</w:t>
            </w:r>
            <w:r>
              <w:rPr>
                <w:rFonts w:hint="eastAsia" w:ascii="宋体" w:hAnsi="宋体" w:eastAsia="宋体" w:cs="宋体"/>
                <w:kern w:val="0"/>
                <w:sz w:val="18"/>
                <w:szCs w:val="18"/>
              </w:rPr>
              <w:t>km</w:t>
            </w:r>
            <w:r>
              <w:rPr>
                <w:rFonts w:hint="eastAsia" w:ascii="宋体" w:hAnsi="宋体" w:eastAsia="宋体" w:cs="宋体"/>
                <w:kern w:val="0"/>
                <w:sz w:val="18"/>
                <w:szCs w:val="18"/>
                <w:vertAlign w:val="superscript"/>
              </w:rPr>
              <w:t>2</w:t>
            </w:r>
          </w:p>
        </w:tc>
        <w:tc>
          <w:tcPr>
            <w:tcW w:w="1142" w:type="dxa"/>
            <w:tcBorders>
              <w:top w:val="single" w:color="auto" w:sz="4" w:space="0"/>
              <w:left w:val="nil"/>
              <w:bottom w:val="single" w:color="auto" w:sz="4" w:space="0"/>
              <w:right w:val="single" w:color="auto" w:sz="4" w:space="0"/>
            </w:tcBorders>
            <w:vAlign w:val="center"/>
          </w:tcPr>
          <w:p w14:paraId="142DD89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140</w:t>
            </w:r>
            <w:r>
              <w:rPr>
                <w:rFonts w:hint="eastAsia" w:ascii="宋体" w:hAnsi="宋体" w:eastAsia="宋体" w:cs="宋体"/>
                <w:kern w:val="0"/>
                <w:sz w:val="18"/>
                <w:szCs w:val="18"/>
              </w:rPr>
              <w:t>km</w:t>
            </w:r>
            <w:r>
              <w:rPr>
                <w:rFonts w:hint="eastAsia" w:ascii="宋体" w:hAnsi="宋体" w:eastAsia="宋体" w:cs="宋体"/>
                <w:kern w:val="0"/>
                <w:sz w:val="18"/>
                <w:szCs w:val="18"/>
                <w:vertAlign w:val="superscript"/>
              </w:rPr>
              <w:t>2</w:t>
            </w:r>
          </w:p>
        </w:tc>
        <w:tc>
          <w:tcPr>
            <w:tcW w:w="567" w:type="dxa"/>
            <w:gridSpan w:val="2"/>
            <w:tcBorders>
              <w:top w:val="single" w:color="auto" w:sz="4" w:space="0"/>
              <w:left w:val="nil"/>
              <w:bottom w:val="single" w:color="auto" w:sz="4" w:space="0"/>
              <w:right w:val="single" w:color="auto" w:sz="4" w:space="0"/>
            </w:tcBorders>
            <w:vAlign w:val="center"/>
          </w:tcPr>
          <w:p w14:paraId="72F96A2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567" w:type="dxa"/>
            <w:gridSpan w:val="2"/>
            <w:tcBorders>
              <w:top w:val="single" w:color="auto" w:sz="4" w:space="0"/>
              <w:left w:val="nil"/>
              <w:bottom w:val="single" w:color="auto" w:sz="4" w:space="0"/>
              <w:right w:val="single" w:color="auto" w:sz="4" w:space="0"/>
            </w:tcBorders>
            <w:vAlign w:val="center"/>
          </w:tcPr>
          <w:p w14:paraId="6A367BC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417" w:type="dxa"/>
            <w:gridSpan w:val="2"/>
            <w:tcBorders>
              <w:top w:val="single" w:color="auto" w:sz="4" w:space="0"/>
              <w:left w:val="nil"/>
              <w:bottom w:val="single" w:color="auto" w:sz="4" w:space="0"/>
              <w:right w:val="single" w:color="auto" w:sz="4" w:space="0"/>
            </w:tcBorders>
            <w:vAlign w:val="center"/>
          </w:tcPr>
          <w:p w14:paraId="674A21D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254B089E">
        <w:tblPrEx>
          <w:tblCellMar>
            <w:top w:w="0" w:type="dxa"/>
            <w:left w:w="108" w:type="dxa"/>
            <w:bottom w:w="0" w:type="dxa"/>
            <w:right w:w="108" w:type="dxa"/>
          </w:tblCellMar>
        </w:tblPrEx>
        <w:trPr>
          <w:trHeight w:val="532"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7C19CCDE">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7D9DB9F6">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586EAC5C">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CB89C9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槽探工程</w:t>
            </w:r>
          </w:p>
        </w:tc>
        <w:tc>
          <w:tcPr>
            <w:tcW w:w="1701" w:type="dxa"/>
            <w:gridSpan w:val="2"/>
            <w:tcBorders>
              <w:top w:val="single" w:color="auto" w:sz="4" w:space="0"/>
              <w:left w:val="nil"/>
              <w:bottom w:val="single" w:color="auto" w:sz="4" w:space="0"/>
              <w:right w:val="single" w:color="auto" w:sz="4" w:space="0"/>
            </w:tcBorders>
            <w:vAlign w:val="center"/>
          </w:tcPr>
          <w:p w14:paraId="30943186">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r>
              <w:rPr>
                <w:rFonts w:hint="eastAsia" w:ascii="宋体" w:hAnsi="宋体" w:eastAsia="宋体" w:cs="宋体"/>
                <w:kern w:val="0"/>
                <w:sz w:val="18"/>
                <w:szCs w:val="18"/>
              </w:rPr>
              <w:t>m</w:t>
            </w:r>
            <w:r>
              <w:rPr>
                <w:rFonts w:hint="eastAsia" w:ascii="宋体" w:hAnsi="宋体" w:eastAsia="宋体" w:cs="宋体"/>
                <w:kern w:val="0"/>
                <w:sz w:val="18"/>
                <w:szCs w:val="18"/>
                <w:vertAlign w:val="superscript"/>
              </w:rPr>
              <w:t>3</w:t>
            </w:r>
          </w:p>
        </w:tc>
        <w:tc>
          <w:tcPr>
            <w:tcW w:w="1142" w:type="dxa"/>
            <w:tcBorders>
              <w:top w:val="single" w:color="auto" w:sz="4" w:space="0"/>
              <w:left w:val="nil"/>
              <w:bottom w:val="single" w:color="auto" w:sz="4" w:space="0"/>
              <w:right w:val="single" w:color="auto" w:sz="4" w:space="0"/>
            </w:tcBorders>
            <w:vAlign w:val="center"/>
          </w:tcPr>
          <w:p w14:paraId="72F9D01C">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512</w:t>
            </w:r>
            <w:r>
              <w:rPr>
                <w:rFonts w:hint="eastAsia" w:ascii="宋体" w:hAnsi="宋体" w:eastAsia="宋体" w:cs="宋体"/>
                <w:kern w:val="0"/>
                <w:sz w:val="18"/>
                <w:szCs w:val="18"/>
              </w:rPr>
              <w:t>m</w:t>
            </w:r>
            <w:r>
              <w:rPr>
                <w:rFonts w:hint="eastAsia" w:ascii="宋体" w:hAnsi="宋体" w:eastAsia="宋体" w:cs="宋体"/>
                <w:kern w:val="0"/>
                <w:sz w:val="18"/>
                <w:szCs w:val="18"/>
                <w:vertAlign w:val="superscript"/>
              </w:rPr>
              <w:t>3</w:t>
            </w:r>
          </w:p>
        </w:tc>
        <w:tc>
          <w:tcPr>
            <w:tcW w:w="567" w:type="dxa"/>
            <w:gridSpan w:val="2"/>
            <w:tcBorders>
              <w:top w:val="single" w:color="auto" w:sz="4" w:space="0"/>
              <w:left w:val="nil"/>
              <w:bottom w:val="single" w:color="auto" w:sz="4" w:space="0"/>
              <w:right w:val="single" w:color="auto" w:sz="4" w:space="0"/>
            </w:tcBorders>
            <w:vAlign w:val="center"/>
          </w:tcPr>
          <w:p w14:paraId="1734393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1C87508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17" w:type="dxa"/>
            <w:gridSpan w:val="2"/>
            <w:tcBorders>
              <w:top w:val="single" w:color="auto" w:sz="4" w:space="0"/>
              <w:left w:val="nil"/>
              <w:bottom w:val="single" w:color="auto" w:sz="4" w:space="0"/>
              <w:right w:val="single" w:color="auto" w:sz="4" w:space="0"/>
            </w:tcBorders>
            <w:vAlign w:val="center"/>
          </w:tcPr>
          <w:p w14:paraId="4E29C77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部分未揭露目的层</w:t>
            </w:r>
          </w:p>
        </w:tc>
      </w:tr>
      <w:tr w14:paraId="2A3BE4AD">
        <w:tblPrEx>
          <w:tblCellMar>
            <w:top w:w="0" w:type="dxa"/>
            <w:left w:w="108" w:type="dxa"/>
            <w:bottom w:w="0" w:type="dxa"/>
            <w:right w:w="108" w:type="dxa"/>
          </w:tblCellMar>
        </w:tblPrEx>
        <w:trPr>
          <w:trHeight w:val="56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0F6B47CC">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418285DC">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076D3F66">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EEDF09">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浅钻工程</w:t>
            </w:r>
          </w:p>
        </w:tc>
        <w:tc>
          <w:tcPr>
            <w:tcW w:w="1701" w:type="dxa"/>
            <w:gridSpan w:val="2"/>
            <w:tcBorders>
              <w:top w:val="single" w:color="auto" w:sz="4" w:space="0"/>
              <w:left w:val="nil"/>
              <w:bottom w:val="single" w:color="auto" w:sz="4" w:space="0"/>
              <w:right w:val="single" w:color="auto" w:sz="4" w:space="0"/>
            </w:tcBorders>
            <w:vAlign w:val="center"/>
          </w:tcPr>
          <w:p w14:paraId="4AFB9C79">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210m</w:t>
            </w:r>
          </w:p>
        </w:tc>
        <w:tc>
          <w:tcPr>
            <w:tcW w:w="1142" w:type="dxa"/>
            <w:tcBorders>
              <w:top w:val="single" w:color="auto" w:sz="4" w:space="0"/>
              <w:left w:val="nil"/>
              <w:bottom w:val="single" w:color="auto" w:sz="4" w:space="0"/>
              <w:right w:val="single" w:color="auto" w:sz="4" w:space="0"/>
            </w:tcBorders>
            <w:vAlign w:val="center"/>
          </w:tcPr>
          <w:p w14:paraId="1799E9E7">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256</w:t>
            </w:r>
            <w:r>
              <w:rPr>
                <w:rFonts w:hint="eastAsia" w:ascii="宋体" w:hAnsi="宋体" w:eastAsia="宋体" w:cs="宋体"/>
                <w:color w:val="000000"/>
                <w:kern w:val="0"/>
                <w:sz w:val="18"/>
                <w:szCs w:val="18"/>
              </w:rPr>
              <w:t>m</w:t>
            </w:r>
          </w:p>
        </w:tc>
        <w:tc>
          <w:tcPr>
            <w:tcW w:w="567" w:type="dxa"/>
            <w:gridSpan w:val="2"/>
            <w:tcBorders>
              <w:top w:val="single" w:color="auto" w:sz="4" w:space="0"/>
              <w:left w:val="nil"/>
              <w:bottom w:val="single" w:color="auto" w:sz="4" w:space="0"/>
              <w:right w:val="single" w:color="auto" w:sz="4" w:space="0"/>
            </w:tcBorders>
            <w:vAlign w:val="center"/>
          </w:tcPr>
          <w:p w14:paraId="76A5774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798632A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17" w:type="dxa"/>
            <w:gridSpan w:val="2"/>
            <w:tcBorders>
              <w:top w:val="single" w:color="auto" w:sz="4" w:space="0"/>
              <w:left w:val="nil"/>
              <w:bottom w:val="single" w:color="auto" w:sz="4" w:space="0"/>
              <w:right w:val="single" w:color="auto" w:sz="4" w:space="0"/>
            </w:tcBorders>
            <w:vAlign w:val="center"/>
          </w:tcPr>
          <w:p w14:paraId="7B65DD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部分未揭露目的层</w:t>
            </w:r>
          </w:p>
        </w:tc>
      </w:tr>
      <w:tr w14:paraId="3054D945">
        <w:tblPrEx>
          <w:tblCellMar>
            <w:top w:w="0" w:type="dxa"/>
            <w:left w:w="108" w:type="dxa"/>
            <w:bottom w:w="0" w:type="dxa"/>
            <w:right w:w="108" w:type="dxa"/>
          </w:tblCellMar>
        </w:tblPrEx>
        <w:trPr>
          <w:trHeight w:val="709"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414CD758">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2AF6C03F">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5E6C7E43">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0EC9A0">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钻探工程</w:t>
            </w:r>
          </w:p>
        </w:tc>
        <w:tc>
          <w:tcPr>
            <w:tcW w:w="1701" w:type="dxa"/>
            <w:gridSpan w:val="2"/>
            <w:tcBorders>
              <w:top w:val="single" w:color="auto" w:sz="4" w:space="0"/>
              <w:left w:val="nil"/>
              <w:bottom w:val="single" w:color="auto" w:sz="4" w:space="0"/>
              <w:right w:val="single" w:color="auto" w:sz="4" w:space="0"/>
            </w:tcBorders>
            <w:vAlign w:val="center"/>
          </w:tcPr>
          <w:p w14:paraId="07143A74">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1600m</w:t>
            </w:r>
          </w:p>
        </w:tc>
        <w:tc>
          <w:tcPr>
            <w:tcW w:w="1142" w:type="dxa"/>
            <w:tcBorders>
              <w:top w:val="single" w:color="auto" w:sz="4" w:space="0"/>
              <w:left w:val="nil"/>
              <w:bottom w:val="single" w:color="auto" w:sz="4" w:space="0"/>
              <w:right w:val="single" w:color="auto" w:sz="4" w:space="0"/>
            </w:tcBorders>
            <w:vAlign w:val="center"/>
          </w:tcPr>
          <w:p w14:paraId="08062240">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1642.88m</w:t>
            </w:r>
          </w:p>
        </w:tc>
        <w:tc>
          <w:tcPr>
            <w:tcW w:w="567" w:type="dxa"/>
            <w:gridSpan w:val="2"/>
            <w:tcBorders>
              <w:top w:val="single" w:color="auto" w:sz="4" w:space="0"/>
              <w:left w:val="nil"/>
              <w:bottom w:val="single" w:color="auto" w:sz="4" w:space="0"/>
              <w:right w:val="single" w:color="auto" w:sz="4" w:space="0"/>
            </w:tcBorders>
            <w:vAlign w:val="center"/>
          </w:tcPr>
          <w:p w14:paraId="2352222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67" w:type="dxa"/>
            <w:gridSpan w:val="2"/>
            <w:tcBorders>
              <w:top w:val="single" w:color="auto" w:sz="4" w:space="0"/>
              <w:left w:val="nil"/>
              <w:bottom w:val="single" w:color="auto" w:sz="4" w:space="0"/>
              <w:right w:val="single" w:color="auto" w:sz="4" w:space="0"/>
            </w:tcBorders>
            <w:vAlign w:val="center"/>
          </w:tcPr>
          <w:p w14:paraId="75BAB56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417" w:type="dxa"/>
            <w:gridSpan w:val="2"/>
            <w:tcBorders>
              <w:top w:val="single" w:color="auto" w:sz="4" w:space="0"/>
              <w:left w:val="nil"/>
              <w:bottom w:val="single" w:color="auto" w:sz="4" w:space="0"/>
              <w:right w:val="single" w:color="auto" w:sz="4" w:space="0"/>
            </w:tcBorders>
            <w:vAlign w:val="center"/>
          </w:tcPr>
          <w:p w14:paraId="1E235B1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总工作量3200米，年度1600米</w:t>
            </w:r>
          </w:p>
        </w:tc>
      </w:tr>
      <w:tr w14:paraId="6DEA8353">
        <w:tblPrEx>
          <w:tblCellMar>
            <w:top w:w="0" w:type="dxa"/>
            <w:left w:w="108" w:type="dxa"/>
            <w:bottom w:w="0" w:type="dxa"/>
            <w:right w:w="108" w:type="dxa"/>
          </w:tblCellMar>
        </w:tblPrEx>
        <w:trPr>
          <w:trHeight w:val="705"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7D6FC804">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1EFC9E9D">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566341A7">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F151170">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测井工程</w:t>
            </w:r>
          </w:p>
        </w:tc>
        <w:tc>
          <w:tcPr>
            <w:tcW w:w="1701" w:type="dxa"/>
            <w:gridSpan w:val="2"/>
            <w:tcBorders>
              <w:top w:val="single" w:color="auto" w:sz="4" w:space="0"/>
              <w:left w:val="nil"/>
              <w:bottom w:val="single" w:color="auto" w:sz="4" w:space="0"/>
              <w:right w:val="single" w:color="auto" w:sz="4" w:space="0"/>
            </w:tcBorders>
            <w:vAlign w:val="center"/>
          </w:tcPr>
          <w:p w14:paraId="2CF4EE5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1600m</w:t>
            </w:r>
          </w:p>
        </w:tc>
        <w:tc>
          <w:tcPr>
            <w:tcW w:w="1142" w:type="dxa"/>
            <w:tcBorders>
              <w:top w:val="single" w:color="auto" w:sz="4" w:space="0"/>
              <w:left w:val="nil"/>
              <w:bottom w:val="single" w:color="auto" w:sz="4" w:space="0"/>
              <w:right w:val="single" w:color="auto" w:sz="4" w:space="0"/>
            </w:tcBorders>
            <w:vAlign w:val="center"/>
          </w:tcPr>
          <w:p w14:paraId="17D44D4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1640m</w:t>
            </w:r>
          </w:p>
        </w:tc>
        <w:tc>
          <w:tcPr>
            <w:tcW w:w="567" w:type="dxa"/>
            <w:gridSpan w:val="2"/>
            <w:tcBorders>
              <w:top w:val="single" w:color="auto" w:sz="4" w:space="0"/>
              <w:left w:val="nil"/>
              <w:bottom w:val="single" w:color="auto" w:sz="4" w:space="0"/>
              <w:right w:val="single" w:color="auto" w:sz="4" w:space="0"/>
            </w:tcBorders>
            <w:vAlign w:val="center"/>
          </w:tcPr>
          <w:p w14:paraId="2B3C4BB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180357F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417" w:type="dxa"/>
            <w:gridSpan w:val="2"/>
            <w:tcBorders>
              <w:top w:val="single" w:color="auto" w:sz="4" w:space="0"/>
              <w:left w:val="nil"/>
              <w:bottom w:val="single" w:color="auto" w:sz="4" w:space="0"/>
              <w:right w:val="single" w:color="auto" w:sz="4" w:space="0"/>
            </w:tcBorders>
            <w:vAlign w:val="center"/>
          </w:tcPr>
          <w:p w14:paraId="3D9C64C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总工作量3000米，年度1600米</w:t>
            </w:r>
          </w:p>
        </w:tc>
      </w:tr>
      <w:tr w14:paraId="5120150F">
        <w:tblPrEx>
          <w:tblCellMar>
            <w:top w:w="0" w:type="dxa"/>
            <w:left w:w="108" w:type="dxa"/>
            <w:bottom w:w="0" w:type="dxa"/>
            <w:right w:w="108" w:type="dxa"/>
          </w:tblCellMar>
        </w:tblPrEx>
        <w:trPr>
          <w:trHeight w:val="560"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481CEC91">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51B09DFA">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37757F61">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EB6017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采样测试</w:t>
            </w:r>
          </w:p>
        </w:tc>
        <w:tc>
          <w:tcPr>
            <w:tcW w:w="1701" w:type="dxa"/>
            <w:gridSpan w:val="2"/>
            <w:tcBorders>
              <w:top w:val="single" w:color="auto" w:sz="4" w:space="0"/>
              <w:left w:val="nil"/>
              <w:bottom w:val="single" w:color="auto" w:sz="4" w:space="0"/>
              <w:right w:val="single" w:color="auto" w:sz="4" w:space="0"/>
            </w:tcBorders>
            <w:vAlign w:val="center"/>
          </w:tcPr>
          <w:p w14:paraId="43784D86">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24个</w:t>
            </w:r>
          </w:p>
        </w:tc>
        <w:tc>
          <w:tcPr>
            <w:tcW w:w="1142" w:type="dxa"/>
            <w:tcBorders>
              <w:top w:val="single" w:color="auto" w:sz="4" w:space="0"/>
              <w:left w:val="nil"/>
              <w:bottom w:val="single" w:color="auto" w:sz="4" w:space="0"/>
              <w:right w:val="single" w:color="auto" w:sz="4" w:space="0"/>
            </w:tcBorders>
            <w:vAlign w:val="center"/>
          </w:tcPr>
          <w:p w14:paraId="246F5EA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23个</w:t>
            </w:r>
          </w:p>
        </w:tc>
        <w:tc>
          <w:tcPr>
            <w:tcW w:w="567" w:type="dxa"/>
            <w:gridSpan w:val="2"/>
            <w:tcBorders>
              <w:top w:val="single" w:color="auto" w:sz="4" w:space="0"/>
              <w:left w:val="nil"/>
              <w:bottom w:val="single" w:color="auto" w:sz="4" w:space="0"/>
              <w:right w:val="single" w:color="auto" w:sz="4" w:space="0"/>
            </w:tcBorders>
            <w:vAlign w:val="center"/>
          </w:tcPr>
          <w:p w14:paraId="230E2F6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6CE76A4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17" w:type="dxa"/>
            <w:gridSpan w:val="2"/>
            <w:tcBorders>
              <w:top w:val="single" w:color="auto" w:sz="4" w:space="0"/>
              <w:left w:val="nil"/>
              <w:bottom w:val="single" w:color="auto" w:sz="4" w:space="0"/>
              <w:right w:val="single" w:color="auto" w:sz="4" w:space="0"/>
            </w:tcBorders>
            <w:vAlign w:val="center"/>
          </w:tcPr>
          <w:p w14:paraId="362DB7F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总工作量54个，年度24个</w:t>
            </w:r>
          </w:p>
        </w:tc>
      </w:tr>
      <w:tr w14:paraId="7C363AAC">
        <w:tblPrEx>
          <w:tblCellMar>
            <w:top w:w="0" w:type="dxa"/>
            <w:left w:w="108" w:type="dxa"/>
            <w:bottom w:w="0" w:type="dxa"/>
            <w:right w:w="108" w:type="dxa"/>
          </w:tblCellMar>
        </w:tblPrEx>
        <w:trPr>
          <w:trHeight w:val="764"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39C03C9B">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049BB19A">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657EB55D">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243546C">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工程点测量</w:t>
            </w:r>
          </w:p>
        </w:tc>
        <w:tc>
          <w:tcPr>
            <w:tcW w:w="1701" w:type="dxa"/>
            <w:gridSpan w:val="2"/>
            <w:tcBorders>
              <w:top w:val="single" w:color="auto" w:sz="4" w:space="0"/>
              <w:left w:val="nil"/>
              <w:bottom w:val="single" w:color="auto" w:sz="4" w:space="0"/>
              <w:right w:val="single" w:color="auto" w:sz="4" w:space="0"/>
            </w:tcBorders>
            <w:vAlign w:val="center"/>
          </w:tcPr>
          <w:p w14:paraId="67DCA9A2">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12点</w:t>
            </w:r>
          </w:p>
        </w:tc>
        <w:tc>
          <w:tcPr>
            <w:tcW w:w="1142" w:type="dxa"/>
            <w:tcBorders>
              <w:top w:val="single" w:color="auto" w:sz="4" w:space="0"/>
              <w:left w:val="nil"/>
              <w:bottom w:val="single" w:color="auto" w:sz="4" w:space="0"/>
              <w:right w:val="single" w:color="auto" w:sz="4" w:space="0"/>
            </w:tcBorders>
            <w:vAlign w:val="center"/>
          </w:tcPr>
          <w:p w14:paraId="60AFFC0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10点</w:t>
            </w:r>
          </w:p>
        </w:tc>
        <w:tc>
          <w:tcPr>
            <w:tcW w:w="567" w:type="dxa"/>
            <w:gridSpan w:val="2"/>
            <w:tcBorders>
              <w:top w:val="single" w:color="auto" w:sz="4" w:space="0"/>
              <w:left w:val="nil"/>
              <w:bottom w:val="single" w:color="auto" w:sz="4" w:space="0"/>
              <w:right w:val="single" w:color="auto" w:sz="4" w:space="0"/>
            </w:tcBorders>
            <w:vAlign w:val="center"/>
          </w:tcPr>
          <w:p w14:paraId="470EB59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584ECD6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417" w:type="dxa"/>
            <w:gridSpan w:val="2"/>
            <w:tcBorders>
              <w:top w:val="single" w:color="auto" w:sz="4" w:space="0"/>
              <w:left w:val="nil"/>
              <w:bottom w:val="single" w:color="auto" w:sz="4" w:space="0"/>
              <w:right w:val="single" w:color="auto" w:sz="4" w:space="0"/>
            </w:tcBorders>
            <w:vAlign w:val="center"/>
          </w:tcPr>
          <w:p w14:paraId="2B969A4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总工作量14个，年度12个</w:t>
            </w:r>
          </w:p>
        </w:tc>
      </w:tr>
      <w:tr w14:paraId="7EA57D21">
        <w:tblPrEx>
          <w:tblCellMar>
            <w:top w:w="0" w:type="dxa"/>
            <w:left w:w="108" w:type="dxa"/>
            <w:bottom w:w="0" w:type="dxa"/>
            <w:right w:w="108" w:type="dxa"/>
          </w:tblCellMar>
        </w:tblPrEx>
        <w:trPr>
          <w:trHeight w:val="1025"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0EC59D73">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3C34E6C4">
            <w:pPr>
              <w:widowControl/>
              <w:spacing w:line="240" w:lineRule="exact"/>
              <w:jc w:val="center"/>
              <w:rPr>
                <w:rFonts w:ascii="宋体" w:hAnsi="宋体" w:eastAsia="宋体" w:cs="宋体"/>
                <w:kern w:val="0"/>
                <w:sz w:val="18"/>
                <w:szCs w:val="18"/>
              </w:rPr>
            </w:pPr>
          </w:p>
        </w:tc>
        <w:tc>
          <w:tcPr>
            <w:tcW w:w="700" w:type="dxa"/>
            <w:vMerge w:val="restart"/>
            <w:tcBorders>
              <w:top w:val="single" w:color="auto" w:sz="4" w:space="0"/>
              <w:left w:val="single" w:color="auto" w:sz="4" w:space="0"/>
              <w:bottom w:val="single" w:color="auto" w:sz="4" w:space="0"/>
              <w:right w:val="single" w:color="auto" w:sz="4" w:space="0"/>
            </w:tcBorders>
            <w:vAlign w:val="center"/>
          </w:tcPr>
          <w:p w14:paraId="524FE7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418" w:type="dxa"/>
            <w:gridSpan w:val="2"/>
            <w:tcBorders>
              <w:top w:val="single" w:color="auto" w:sz="4" w:space="0"/>
              <w:left w:val="nil"/>
              <w:bottom w:val="single" w:color="auto" w:sz="4" w:space="0"/>
              <w:right w:val="single" w:color="auto" w:sz="4" w:space="0"/>
            </w:tcBorders>
            <w:vAlign w:val="center"/>
          </w:tcPr>
          <w:p w14:paraId="0118911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地质填图</w:t>
            </w:r>
          </w:p>
        </w:tc>
        <w:tc>
          <w:tcPr>
            <w:tcW w:w="1701" w:type="dxa"/>
            <w:gridSpan w:val="2"/>
            <w:tcBorders>
              <w:top w:val="single" w:color="auto" w:sz="4" w:space="0"/>
              <w:left w:val="nil"/>
              <w:bottom w:val="single" w:color="auto" w:sz="4" w:space="0"/>
              <w:right w:val="single" w:color="auto" w:sz="4" w:space="0"/>
            </w:tcBorders>
            <w:vAlign w:val="center"/>
          </w:tcPr>
          <w:p w14:paraId="53B547D4">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了解地层层序及构造</w:t>
            </w:r>
          </w:p>
        </w:tc>
        <w:tc>
          <w:tcPr>
            <w:tcW w:w="1142" w:type="dxa"/>
            <w:tcBorders>
              <w:top w:val="single" w:color="auto" w:sz="4" w:space="0"/>
              <w:left w:val="nil"/>
              <w:bottom w:val="single" w:color="auto" w:sz="4" w:space="0"/>
              <w:right w:val="single" w:color="auto" w:sz="4" w:space="0"/>
            </w:tcBorders>
            <w:vAlign w:val="center"/>
          </w:tcPr>
          <w:p w14:paraId="6C78AFB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了解地层层序及构造，工程质量良好以上</w:t>
            </w:r>
          </w:p>
        </w:tc>
        <w:tc>
          <w:tcPr>
            <w:tcW w:w="567" w:type="dxa"/>
            <w:gridSpan w:val="2"/>
            <w:tcBorders>
              <w:top w:val="single" w:color="auto" w:sz="4" w:space="0"/>
              <w:left w:val="nil"/>
              <w:bottom w:val="single" w:color="auto" w:sz="4" w:space="0"/>
              <w:right w:val="single" w:color="auto" w:sz="4" w:space="0"/>
            </w:tcBorders>
            <w:vAlign w:val="center"/>
          </w:tcPr>
          <w:p w14:paraId="3A727D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567" w:type="dxa"/>
            <w:gridSpan w:val="2"/>
            <w:tcBorders>
              <w:top w:val="single" w:color="auto" w:sz="4" w:space="0"/>
              <w:left w:val="nil"/>
              <w:bottom w:val="single" w:color="auto" w:sz="4" w:space="0"/>
              <w:right w:val="single" w:color="auto" w:sz="4" w:space="0"/>
            </w:tcBorders>
            <w:vAlign w:val="center"/>
          </w:tcPr>
          <w:p w14:paraId="50EBA62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417" w:type="dxa"/>
            <w:gridSpan w:val="2"/>
            <w:tcBorders>
              <w:top w:val="single" w:color="auto" w:sz="4" w:space="0"/>
              <w:left w:val="nil"/>
              <w:bottom w:val="single" w:color="auto" w:sz="4" w:space="0"/>
              <w:right w:val="single" w:color="auto" w:sz="4" w:space="0"/>
            </w:tcBorders>
            <w:vAlign w:val="center"/>
          </w:tcPr>
          <w:p w14:paraId="7C1757B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278A9EE2">
        <w:tblPrEx>
          <w:tblCellMar>
            <w:top w:w="0" w:type="dxa"/>
            <w:left w:w="108" w:type="dxa"/>
            <w:bottom w:w="0" w:type="dxa"/>
            <w:right w:w="108" w:type="dxa"/>
          </w:tblCellMar>
        </w:tblPrEx>
        <w:trPr>
          <w:trHeight w:val="95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265292F0">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261BC6B5">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4FCB104F">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871A37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槽探工程</w:t>
            </w:r>
          </w:p>
        </w:tc>
        <w:tc>
          <w:tcPr>
            <w:tcW w:w="1701" w:type="dxa"/>
            <w:gridSpan w:val="2"/>
            <w:tcBorders>
              <w:top w:val="single" w:color="auto" w:sz="4" w:space="0"/>
              <w:left w:val="nil"/>
              <w:bottom w:val="single" w:color="auto" w:sz="4" w:space="0"/>
              <w:right w:val="single" w:color="auto" w:sz="4" w:space="0"/>
            </w:tcBorders>
            <w:vAlign w:val="center"/>
          </w:tcPr>
          <w:p w14:paraId="304377E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揭露含煤地层及煤层</w:t>
            </w:r>
          </w:p>
        </w:tc>
        <w:tc>
          <w:tcPr>
            <w:tcW w:w="1142" w:type="dxa"/>
            <w:tcBorders>
              <w:top w:val="single" w:color="auto" w:sz="4" w:space="0"/>
              <w:left w:val="nil"/>
              <w:bottom w:val="single" w:color="auto" w:sz="4" w:space="0"/>
              <w:right w:val="single" w:color="auto" w:sz="4" w:space="0"/>
            </w:tcBorders>
            <w:vAlign w:val="center"/>
          </w:tcPr>
          <w:p w14:paraId="606A09E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揭露含煤地层，工程质量良好以上</w:t>
            </w:r>
          </w:p>
        </w:tc>
        <w:tc>
          <w:tcPr>
            <w:tcW w:w="567" w:type="dxa"/>
            <w:gridSpan w:val="2"/>
            <w:tcBorders>
              <w:top w:val="single" w:color="auto" w:sz="4" w:space="0"/>
              <w:left w:val="nil"/>
              <w:bottom w:val="single" w:color="auto" w:sz="4" w:space="0"/>
              <w:right w:val="single" w:color="auto" w:sz="4" w:space="0"/>
            </w:tcBorders>
            <w:vAlign w:val="center"/>
          </w:tcPr>
          <w:p w14:paraId="729FC08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4B502F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17" w:type="dxa"/>
            <w:gridSpan w:val="2"/>
            <w:tcBorders>
              <w:top w:val="single" w:color="auto" w:sz="4" w:space="0"/>
              <w:left w:val="nil"/>
              <w:bottom w:val="single" w:color="auto" w:sz="4" w:space="0"/>
              <w:right w:val="single" w:color="auto" w:sz="4" w:space="0"/>
            </w:tcBorders>
            <w:vAlign w:val="center"/>
          </w:tcPr>
          <w:p w14:paraId="17B8396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部分达到目的层，未揭露煤层</w:t>
            </w:r>
          </w:p>
        </w:tc>
      </w:tr>
      <w:tr w14:paraId="5AFF3859">
        <w:tblPrEx>
          <w:tblCellMar>
            <w:top w:w="0" w:type="dxa"/>
            <w:left w:w="108" w:type="dxa"/>
            <w:bottom w:w="0" w:type="dxa"/>
            <w:right w:w="108" w:type="dxa"/>
          </w:tblCellMar>
        </w:tblPrEx>
        <w:trPr>
          <w:trHeight w:val="985"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0F74282C">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2EB439C0">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66655ACC">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47D3D5">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浅钻工程</w:t>
            </w:r>
          </w:p>
        </w:tc>
        <w:tc>
          <w:tcPr>
            <w:tcW w:w="1701" w:type="dxa"/>
            <w:gridSpan w:val="2"/>
            <w:tcBorders>
              <w:top w:val="single" w:color="auto" w:sz="4" w:space="0"/>
              <w:left w:val="nil"/>
              <w:bottom w:val="single" w:color="auto" w:sz="4" w:space="0"/>
              <w:right w:val="single" w:color="auto" w:sz="4" w:space="0"/>
            </w:tcBorders>
            <w:vAlign w:val="center"/>
          </w:tcPr>
          <w:p w14:paraId="62646E4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揭露含煤地层及煤层</w:t>
            </w:r>
          </w:p>
        </w:tc>
        <w:tc>
          <w:tcPr>
            <w:tcW w:w="1142" w:type="dxa"/>
            <w:tcBorders>
              <w:top w:val="single" w:color="auto" w:sz="4" w:space="0"/>
              <w:left w:val="nil"/>
              <w:bottom w:val="single" w:color="auto" w:sz="4" w:space="0"/>
              <w:right w:val="single" w:color="auto" w:sz="4" w:space="0"/>
            </w:tcBorders>
            <w:vAlign w:val="center"/>
          </w:tcPr>
          <w:p w14:paraId="0EC8D98B">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揭露含煤地层，工程质量良好以上</w:t>
            </w:r>
          </w:p>
        </w:tc>
        <w:tc>
          <w:tcPr>
            <w:tcW w:w="567" w:type="dxa"/>
            <w:gridSpan w:val="2"/>
            <w:tcBorders>
              <w:top w:val="single" w:color="auto" w:sz="4" w:space="0"/>
              <w:left w:val="nil"/>
              <w:bottom w:val="single" w:color="auto" w:sz="4" w:space="0"/>
              <w:right w:val="single" w:color="auto" w:sz="4" w:space="0"/>
            </w:tcBorders>
            <w:vAlign w:val="center"/>
          </w:tcPr>
          <w:p w14:paraId="6581D39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6849CF1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17" w:type="dxa"/>
            <w:gridSpan w:val="2"/>
            <w:tcBorders>
              <w:top w:val="single" w:color="auto" w:sz="4" w:space="0"/>
              <w:left w:val="nil"/>
              <w:bottom w:val="single" w:color="auto" w:sz="4" w:space="0"/>
              <w:right w:val="single" w:color="auto" w:sz="4" w:space="0"/>
            </w:tcBorders>
            <w:vAlign w:val="center"/>
          </w:tcPr>
          <w:p w14:paraId="42DB07C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部分达到目的层，未揭露煤层</w:t>
            </w:r>
          </w:p>
        </w:tc>
      </w:tr>
      <w:tr w14:paraId="1B04C4EF">
        <w:tblPrEx>
          <w:tblCellMar>
            <w:top w:w="0" w:type="dxa"/>
            <w:left w:w="108" w:type="dxa"/>
            <w:bottom w:w="0" w:type="dxa"/>
            <w:right w:w="108" w:type="dxa"/>
          </w:tblCellMar>
        </w:tblPrEx>
        <w:trPr>
          <w:trHeight w:val="1074"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0B5C57E6">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5ED6194B">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19B5AD25">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462CEA">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钻探工程</w:t>
            </w:r>
          </w:p>
        </w:tc>
        <w:tc>
          <w:tcPr>
            <w:tcW w:w="1701" w:type="dxa"/>
            <w:gridSpan w:val="2"/>
            <w:tcBorders>
              <w:top w:val="single" w:color="auto" w:sz="4" w:space="0"/>
              <w:left w:val="nil"/>
              <w:bottom w:val="single" w:color="auto" w:sz="4" w:space="0"/>
              <w:right w:val="single" w:color="auto" w:sz="4" w:space="0"/>
            </w:tcBorders>
            <w:vAlign w:val="center"/>
          </w:tcPr>
          <w:p w14:paraId="0F6EE43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揭露含煤地层及可采煤层</w:t>
            </w:r>
          </w:p>
          <w:p w14:paraId="5E080B15">
            <w:pPr>
              <w:jc w:val="center"/>
              <w:rPr>
                <w:rFonts w:ascii="宋体" w:hAnsi="宋体" w:eastAsia="宋体" w:cs="宋体"/>
                <w:sz w:val="18"/>
                <w:szCs w:val="18"/>
              </w:rPr>
            </w:pPr>
          </w:p>
          <w:p w14:paraId="3BF9B0BA">
            <w:pPr>
              <w:jc w:val="center"/>
              <w:rPr>
                <w:rFonts w:ascii="宋体" w:hAnsi="宋体" w:eastAsia="宋体" w:cs="宋体"/>
                <w:sz w:val="18"/>
                <w:szCs w:val="18"/>
              </w:rPr>
            </w:pPr>
          </w:p>
          <w:p w14:paraId="45641C0B">
            <w:pPr>
              <w:jc w:val="center"/>
              <w:rPr>
                <w:rFonts w:ascii="宋体" w:hAnsi="宋体" w:eastAsia="宋体" w:cs="宋体"/>
                <w:sz w:val="18"/>
                <w:szCs w:val="18"/>
              </w:rPr>
            </w:pPr>
          </w:p>
          <w:p w14:paraId="45E6EB6D">
            <w:pPr>
              <w:jc w:val="center"/>
              <w:rPr>
                <w:rFonts w:ascii="宋体" w:hAnsi="宋体" w:eastAsia="宋体" w:cs="宋体"/>
                <w:sz w:val="18"/>
                <w:szCs w:val="18"/>
              </w:rPr>
            </w:pPr>
          </w:p>
          <w:p w14:paraId="67737597">
            <w:pPr>
              <w:jc w:val="center"/>
              <w:rPr>
                <w:rFonts w:ascii="宋体" w:hAnsi="宋体" w:eastAsia="宋体" w:cs="宋体"/>
                <w:sz w:val="18"/>
                <w:szCs w:val="18"/>
              </w:rPr>
            </w:pPr>
          </w:p>
          <w:p w14:paraId="004381F8">
            <w:pPr>
              <w:jc w:val="center"/>
              <w:rPr>
                <w:rFonts w:ascii="宋体" w:hAnsi="宋体" w:eastAsia="宋体" w:cs="宋体"/>
                <w:sz w:val="18"/>
                <w:szCs w:val="18"/>
              </w:rPr>
            </w:pPr>
          </w:p>
          <w:p w14:paraId="508EF2A7">
            <w:pPr>
              <w:jc w:val="center"/>
              <w:rPr>
                <w:rFonts w:ascii="宋体" w:hAnsi="宋体" w:eastAsia="宋体" w:cs="宋体"/>
                <w:sz w:val="18"/>
                <w:szCs w:val="18"/>
              </w:rPr>
            </w:pPr>
          </w:p>
          <w:p w14:paraId="13CA572C">
            <w:pPr>
              <w:jc w:val="center"/>
              <w:rPr>
                <w:rFonts w:ascii="宋体" w:hAnsi="宋体" w:eastAsia="宋体" w:cs="宋体"/>
                <w:sz w:val="18"/>
                <w:szCs w:val="18"/>
              </w:rPr>
            </w:pPr>
          </w:p>
          <w:p w14:paraId="2AC497E6">
            <w:pPr>
              <w:jc w:val="center"/>
              <w:rPr>
                <w:rFonts w:ascii="宋体" w:hAnsi="宋体" w:eastAsia="宋体" w:cs="宋体"/>
                <w:sz w:val="18"/>
                <w:szCs w:val="18"/>
              </w:rPr>
            </w:pPr>
          </w:p>
          <w:p w14:paraId="32D36E90">
            <w:pPr>
              <w:jc w:val="center"/>
              <w:rPr>
                <w:rFonts w:ascii="宋体" w:hAnsi="宋体" w:eastAsia="宋体" w:cs="宋体"/>
                <w:sz w:val="18"/>
                <w:szCs w:val="18"/>
              </w:rPr>
            </w:pPr>
          </w:p>
          <w:p w14:paraId="0055980E">
            <w:pPr>
              <w:jc w:val="center"/>
              <w:rPr>
                <w:rFonts w:ascii="宋体" w:hAnsi="宋体" w:eastAsia="宋体" w:cs="宋体"/>
                <w:sz w:val="18"/>
                <w:szCs w:val="18"/>
              </w:rPr>
            </w:pPr>
          </w:p>
          <w:p w14:paraId="0F489469">
            <w:pPr>
              <w:jc w:val="center"/>
              <w:rPr>
                <w:rFonts w:ascii="宋体" w:hAnsi="宋体" w:eastAsia="宋体" w:cs="宋体"/>
                <w:sz w:val="18"/>
                <w:szCs w:val="18"/>
              </w:rPr>
            </w:pPr>
          </w:p>
          <w:p w14:paraId="28B96733">
            <w:pPr>
              <w:jc w:val="center"/>
              <w:rPr>
                <w:rFonts w:ascii="宋体" w:hAnsi="宋体" w:eastAsia="宋体" w:cs="宋体"/>
                <w:sz w:val="18"/>
                <w:szCs w:val="18"/>
              </w:rPr>
            </w:pPr>
          </w:p>
          <w:p w14:paraId="1386BAF5">
            <w:pPr>
              <w:jc w:val="center"/>
              <w:rPr>
                <w:rFonts w:ascii="宋体" w:hAnsi="宋体" w:eastAsia="宋体" w:cs="宋体"/>
                <w:sz w:val="18"/>
                <w:szCs w:val="18"/>
              </w:rPr>
            </w:pPr>
          </w:p>
        </w:tc>
        <w:tc>
          <w:tcPr>
            <w:tcW w:w="1142" w:type="dxa"/>
            <w:tcBorders>
              <w:top w:val="single" w:color="auto" w:sz="4" w:space="0"/>
              <w:left w:val="nil"/>
              <w:bottom w:val="single" w:color="auto" w:sz="4" w:space="0"/>
              <w:right w:val="single" w:color="auto" w:sz="4" w:space="0"/>
            </w:tcBorders>
            <w:vAlign w:val="center"/>
          </w:tcPr>
          <w:p w14:paraId="00DA5ABA">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揭露含煤地层及可采煤层，工程质量良好以上</w:t>
            </w:r>
          </w:p>
        </w:tc>
        <w:tc>
          <w:tcPr>
            <w:tcW w:w="567" w:type="dxa"/>
            <w:gridSpan w:val="2"/>
            <w:tcBorders>
              <w:top w:val="single" w:color="auto" w:sz="4" w:space="0"/>
              <w:left w:val="nil"/>
              <w:bottom w:val="single" w:color="auto" w:sz="4" w:space="0"/>
              <w:right w:val="single" w:color="auto" w:sz="4" w:space="0"/>
            </w:tcBorders>
            <w:vAlign w:val="center"/>
          </w:tcPr>
          <w:p w14:paraId="75BA2B0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67" w:type="dxa"/>
            <w:gridSpan w:val="2"/>
            <w:tcBorders>
              <w:top w:val="single" w:color="auto" w:sz="4" w:space="0"/>
              <w:left w:val="nil"/>
              <w:bottom w:val="single" w:color="auto" w:sz="4" w:space="0"/>
              <w:right w:val="single" w:color="auto" w:sz="4" w:space="0"/>
            </w:tcBorders>
            <w:vAlign w:val="center"/>
          </w:tcPr>
          <w:p w14:paraId="4495B1A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417" w:type="dxa"/>
            <w:gridSpan w:val="2"/>
            <w:tcBorders>
              <w:top w:val="single" w:color="auto" w:sz="4" w:space="0"/>
              <w:left w:val="nil"/>
              <w:bottom w:val="single" w:color="auto" w:sz="4" w:space="0"/>
              <w:right w:val="single" w:color="auto" w:sz="4" w:space="0"/>
            </w:tcBorders>
            <w:vAlign w:val="center"/>
          </w:tcPr>
          <w:p w14:paraId="3941B0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12-1孔揭露断层，未揭露可目的层</w:t>
            </w:r>
          </w:p>
        </w:tc>
      </w:tr>
      <w:tr w14:paraId="23346167">
        <w:tblPrEx>
          <w:tblCellMar>
            <w:top w:w="0" w:type="dxa"/>
            <w:left w:w="108" w:type="dxa"/>
            <w:bottom w:w="0" w:type="dxa"/>
            <w:right w:w="108" w:type="dxa"/>
          </w:tblCellMar>
        </w:tblPrEx>
        <w:trPr>
          <w:trHeight w:val="862"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27370D51">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297C31A6">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2A517A7E">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83FC56B">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测井工程</w:t>
            </w:r>
          </w:p>
        </w:tc>
        <w:tc>
          <w:tcPr>
            <w:tcW w:w="1701" w:type="dxa"/>
            <w:gridSpan w:val="2"/>
            <w:tcBorders>
              <w:top w:val="single" w:color="auto" w:sz="4" w:space="0"/>
              <w:left w:val="nil"/>
              <w:bottom w:val="single" w:color="auto" w:sz="4" w:space="0"/>
              <w:right w:val="single" w:color="auto" w:sz="4" w:space="0"/>
            </w:tcBorders>
            <w:vAlign w:val="center"/>
          </w:tcPr>
          <w:p w14:paraId="7F8F8D8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验证岩性特征</w:t>
            </w:r>
          </w:p>
        </w:tc>
        <w:tc>
          <w:tcPr>
            <w:tcW w:w="1142" w:type="dxa"/>
            <w:tcBorders>
              <w:top w:val="single" w:color="auto" w:sz="4" w:space="0"/>
              <w:left w:val="nil"/>
              <w:bottom w:val="single" w:color="auto" w:sz="4" w:space="0"/>
              <w:right w:val="single" w:color="auto" w:sz="4" w:space="0"/>
            </w:tcBorders>
            <w:vAlign w:val="center"/>
          </w:tcPr>
          <w:p w14:paraId="5CE0ED4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验证岩性特征，工程质量良好以上</w:t>
            </w:r>
          </w:p>
        </w:tc>
        <w:tc>
          <w:tcPr>
            <w:tcW w:w="567" w:type="dxa"/>
            <w:gridSpan w:val="2"/>
            <w:tcBorders>
              <w:top w:val="single" w:color="auto" w:sz="4" w:space="0"/>
              <w:left w:val="nil"/>
              <w:bottom w:val="single" w:color="auto" w:sz="4" w:space="0"/>
              <w:right w:val="single" w:color="auto" w:sz="4" w:space="0"/>
            </w:tcBorders>
            <w:vAlign w:val="center"/>
          </w:tcPr>
          <w:p w14:paraId="5DAE10F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6BA51C8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417" w:type="dxa"/>
            <w:gridSpan w:val="2"/>
            <w:tcBorders>
              <w:top w:val="single" w:color="auto" w:sz="4" w:space="0"/>
              <w:left w:val="nil"/>
              <w:bottom w:val="single" w:color="auto" w:sz="4" w:space="0"/>
              <w:right w:val="single" w:color="auto" w:sz="4" w:space="0"/>
            </w:tcBorders>
            <w:vAlign w:val="center"/>
          </w:tcPr>
          <w:p w14:paraId="09C6A19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5000B6A">
        <w:tblPrEx>
          <w:tblCellMar>
            <w:top w:w="0" w:type="dxa"/>
            <w:left w:w="108" w:type="dxa"/>
            <w:bottom w:w="0" w:type="dxa"/>
            <w:right w:w="108" w:type="dxa"/>
          </w:tblCellMar>
        </w:tblPrEx>
        <w:trPr>
          <w:trHeight w:val="705"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0B19D656">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7914AE6A">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6C4D371D">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EFAF1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采样测试</w:t>
            </w:r>
          </w:p>
        </w:tc>
        <w:tc>
          <w:tcPr>
            <w:tcW w:w="1701" w:type="dxa"/>
            <w:gridSpan w:val="2"/>
            <w:tcBorders>
              <w:top w:val="single" w:color="auto" w:sz="4" w:space="0"/>
              <w:left w:val="nil"/>
              <w:bottom w:val="single" w:color="auto" w:sz="4" w:space="0"/>
              <w:right w:val="single" w:color="auto" w:sz="4" w:space="0"/>
            </w:tcBorders>
            <w:vAlign w:val="center"/>
          </w:tcPr>
          <w:p w14:paraId="7BB785D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了解煤层煤质特征</w:t>
            </w:r>
          </w:p>
        </w:tc>
        <w:tc>
          <w:tcPr>
            <w:tcW w:w="1142" w:type="dxa"/>
            <w:tcBorders>
              <w:top w:val="single" w:color="auto" w:sz="4" w:space="0"/>
              <w:left w:val="nil"/>
              <w:bottom w:val="single" w:color="auto" w:sz="4" w:space="0"/>
              <w:right w:val="single" w:color="auto" w:sz="4" w:space="0"/>
            </w:tcBorders>
            <w:vAlign w:val="center"/>
          </w:tcPr>
          <w:p w14:paraId="7D73E56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完成设计工作量</w:t>
            </w:r>
          </w:p>
        </w:tc>
        <w:tc>
          <w:tcPr>
            <w:tcW w:w="567" w:type="dxa"/>
            <w:gridSpan w:val="2"/>
            <w:tcBorders>
              <w:top w:val="single" w:color="auto" w:sz="4" w:space="0"/>
              <w:left w:val="nil"/>
              <w:bottom w:val="single" w:color="auto" w:sz="4" w:space="0"/>
              <w:right w:val="single" w:color="auto" w:sz="4" w:space="0"/>
            </w:tcBorders>
            <w:vAlign w:val="center"/>
          </w:tcPr>
          <w:p w14:paraId="7333962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5DF5E07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17" w:type="dxa"/>
            <w:gridSpan w:val="2"/>
            <w:tcBorders>
              <w:top w:val="single" w:color="auto" w:sz="4" w:space="0"/>
              <w:left w:val="nil"/>
              <w:bottom w:val="single" w:color="auto" w:sz="4" w:space="0"/>
              <w:right w:val="single" w:color="auto" w:sz="4" w:space="0"/>
            </w:tcBorders>
            <w:vAlign w:val="center"/>
          </w:tcPr>
          <w:p w14:paraId="03C076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部分钻孔煤层不可采，为采集样品，</w:t>
            </w:r>
          </w:p>
        </w:tc>
      </w:tr>
      <w:tr w14:paraId="7C5BD1F8">
        <w:tblPrEx>
          <w:tblCellMar>
            <w:top w:w="0" w:type="dxa"/>
            <w:left w:w="108" w:type="dxa"/>
            <w:bottom w:w="0" w:type="dxa"/>
            <w:right w:w="108" w:type="dxa"/>
          </w:tblCellMar>
        </w:tblPrEx>
        <w:trPr>
          <w:trHeight w:val="573"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5FA226EF">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7486E383">
            <w:pPr>
              <w:widowControl/>
              <w:spacing w:line="240" w:lineRule="exact"/>
              <w:jc w:val="center"/>
              <w:rPr>
                <w:rFonts w:ascii="宋体" w:hAnsi="宋体" w:eastAsia="宋体" w:cs="宋体"/>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14:paraId="78AF49E5">
            <w:pPr>
              <w:widowControl/>
              <w:spacing w:line="240" w:lineRule="exact"/>
              <w:jc w:val="center"/>
              <w:rPr>
                <w:rFonts w:ascii="宋体" w:hAnsi="宋体" w:eastAsia="宋体" w:cs="宋体"/>
                <w:kern w:val="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3A310BD">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工程点测量</w:t>
            </w:r>
          </w:p>
        </w:tc>
        <w:tc>
          <w:tcPr>
            <w:tcW w:w="1701" w:type="dxa"/>
            <w:gridSpan w:val="2"/>
            <w:tcBorders>
              <w:top w:val="single" w:color="auto" w:sz="4" w:space="0"/>
              <w:left w:val="nil"/>
              <w:bottom w:val="single" w:color="auto" w:sz="4" w:space="0"/>
              <w:right w:val="single" w:color="auto" w:sz="4" w:space="0"/>
            </w:tcBorders>
            <w:vAlign w:val="center"/>
          </w:tcPr>
          <w:p w14:paraId="44A06EFD">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确定工程位置</w:t>
            </w:r>
          </w:p>
        </w:tc>
        <w:tc>
          <w:tcPr>
            <w:tcW w:w="1142" w:type="dxa"/>
            <w:tcBorders>
              <w:top w:val="single" w:color="auto" w:sz="4" w:space="0"/>
              <w:left w:val="nil"/>
              <w:bottom w:val="single" w:color="auto" w:sz="4" w:space="0"/>
              <w:right w:val="single" w:color="auto" w:sz="4" w:space="0"/>
            </w:tcBorders>
            <w:vAlign w:val="center"/>
          </w:tcPr>
          <w:p w14:paraId="3A0AE47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完成设计工作量</w:t>
            </w:r>
          </w:p>
        </w:tc>
        <w:tc>
          <w:tcPr>
            <w:tcW w:w="567" w:type="dxa"/>
            <w:gridSpan w:val="2"/>
            <w:tcBorders>
              <w:top w:val="single" w:color="auto" w:sz="4" w:space="0"/>
              <w:left w:val="nil"/>
              <w:bottom w:val="single" w:color="auto" w:sz="4" w:space="0"/>
              <w:right w:val="single" w:color="auto" w:sz="4" w:space="0"/>
            </w:tcBorders>
            <w:vAlign w:val="center"/>
          </w:tcPr>
          <w:p w14:paraId="63AF9FD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7" w:type="dxa"/>
            <w:gridSpan w:val="2"/>
            <w:tcBorders>
              <w:top w:val="single" w:color="auto" w:sz="4" w:space="0"/>
              <w:left w:val="nil"/>
              <w:bottom w:val="single" w:color="auto" w:sz="4" w:space="0"/>
              <w:right w:val="single" w:color="auto" w:sz="4" w:space="0"/>
            </w:tcBorders>
            <w:vAlign w:val="center"/>
          </w:tcPr>
          <w:p w14:paraId="53832F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417" w:type="dxa"/>
            <w:gridSpan w:val="2"/>
            <w:tcBorders>
              <w:top w:val="single" w:color="auto" w:sz="4" w:space="0"/>
              <w:left w:val="nil"/>
              <w:bottom w:val="single" w:color="auto" w:sz="4" w:space="0"/>
              <w:right w:val="single" w:color="auto" w:sz="4" w:space="0"/>
            </w:tcBorders>
            <w:vAlign w:val="center"/>
          </w:tcPr>
          <w:p w14:paraId="4E18BE4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6D47E659">
        <w:tblPrEx>
          <w:tblCellMar>
            <w:top w:w="0" w:type="dxa"/>
            <w:left w:w="108" w:type="dxa"/>
            <w:bottom w:w="0" w:type="dxa"/>
            <w:right w:w="108" w:type="dxa"/>
          </w:tblCellMar>
        </w:tblPrEx>
        <w:trPr>
          <w:trHeight w:val="982"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5050831B">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44E48253">
            <w:pPr>
              <w:widowControl/>
              <w:spacing w:line="240" w:lineRule="exact"/>
              <w:jc w:val="center"/>
              <w:rPr>
                <w:rFonts w:ascii="宋体" w:hAnsi="宋体" w:eastAsia="宋体" w:cs="宋体"/>
                <w:kern w:val="0"/>
                <w:sz w:val="18"/>
                <w:szCs w:val="18"/>
              </w:rPr>
            </w:pPr>
          </w:p>
        </w:tc>
        <w:tc>
          <w:tcPr>
            <w:tcW w:w="700" w:type="dxa"/>
            <w:tcBorders>
              <w:top w:val="single" w:color="auto" w:sz="4" w:space="0"/>
              <w:left w:val="single" w:color="auto" w:sz="4" w:space="0"/>
              <w:bottom w:val="single" w:color="auto" w:sz="4" w:space="0"/>
              <w:right w:val="single" w:color="auto" w:sz="4" w:space="0"/>
            </w:tcBorders>
            <w:vAlign w:val="center"/>
          </w:tcPr>
          <w:p w14:paraId="436C545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418" w:type="dxa"/>
            <w:gridSpan w:val="2"/>
            <w:tcBorders>
              <w:top w:val="single" w:color="auto" w:sz="4" w:space="0"/>
              <w:left w:val="nil"/>
              <w:bottom w:val="single" w:color="auto" w:sz="4" w:space="0"/>
              <w:right w:val="single" w:color="auto" w:sz="4" w:space="0"/>
            </w:tcBorders>
            <w:vAlign w:val="center"/>
          </w:tcPr>
          <w:p w14:paraId="61B5CBAA">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工期</w:t>
            </w:r>
          </w:p>
        </w:tc>
        <w:tc>
          <w:tcPr>
            <w:tcW w:w="1701" w:type="dxa"/>
            <w:gridSpan w:val="2"/>
            <w:tcBorders>
              <w:top w:val="single" w:color="auto" w:sz="4" w:space="0"/>
              <w:left w:val="nil"/>
              <w:bottom w:val="single" w:color="auto" w:sz="4" w:space="0"/>
              <w:right w:val="single" w:color="auto" w:sz="4" w:space="0"/>
            </w:tcBorders>
            <w:vAlign w:val="center"/>
          </w:tcPr>
          <w:p w14:paraId="0DBAEE35">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2019年5月-</w:t>
            </w:r>
          </w:p>
          <w:p w14:paraId="6C3D932D">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2020年8月</w:t>
            </w:r>
          </w:p>
        </w:tc>
        <w:tc>
          <w:tcPr>
            <w:tcW w:w="1142" w:type="dxa"/>
            <w:tcBorders>
              <w:top w:val="single" w:color="auto" w:sz="4" w:space="0"/>
              <w:left w:val="nil"/>
              <w:bottom w:val="single" w:color="auto" w:sz="4" w:space="0"/>
              <w:right w:val="single" w:color="auto" w:sz="4" w:space="0"/>
            </w:tcBorders>
            <w:vAlign w:val="center"/>
          </w:tcPr>
          <w:p w14:paraId="7D9ECCF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单选工程完成0%-100%，达到设计要求</w:t>
            </w:r>
          </w:p>
        </w:tc>
        <w:tc>
          <w:tcPr>
            <w:tcW w:w="567" w:type="dxa"/>
            <w:gridSpan w:val="2"/>
            <w:tcBorders>
              <w:top w:val="single" w:color="auto" w:sz="4" w:space="0"/>
              <w:left w:val="nil"/>
              <w:bottom w:val="single" w:color="auto" w:sz="4" w:space="0"/>
              <w:right w:val="single" w:color="auto" w:sz="4" w:space="0"/>
            </w:tcBorders>
            <w:vAlign w:val="center"/>
          </w:tcPr>
          <w:p w14:paraId="3123A0C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67" w:type="dxa"/>
            <w:gridSpan w:val="2"/>
            <w:tcBorders>
              <w:top w:val="single" w:color="auto" w:sz="4" w:space="0"/>
              <w:left w:val="nil"/>
              <w:bottom w:val="single" w:color="auto" w:sz="4" w:space="0"/>
              <w:right w:val="single" w:color="auto" w:sz="4" w:space="0"/>
            </w:tcBorders>
            <w:vAlign w:val="center"/>
          </w:tcPr>
          <w:p w14:paraId="3F8A7A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417" w:type="dxa"/>
            <w:gridSpan w:val="2"/>
            <w:tcBorders>
              <w:top w:val="single" w:color="auto" w:sz="4" w:space="0"/>
              <w:left w:val="nil"/>
              <w:bottom w:val="single" w:color="auto" w:sz="4" w:space="0"/>
              <w:right w:val="single" w:color="auto" w:sz="4" w:space="0"/>
            </w:tcBorders>
            <w:vAlign w:val="center"/>
          </w:tcPr>
          <w:p w14:paraId="4E629E9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任务书下达至2020年4月，受疫情影响延期至8月。</w:t>
            </w:r>
          </w:p>
        </w:tc>
      </w:tr>
      <w:tr w14:paraId="3960781A">
        <w:tblPrEx>
          <w:tblCellMar>
            <w:top w:w="0" w:type="dxa"/>
            <w:left w:w="108" w:type="dxa"/>
            <w:bottom w:w="0" w:type="dxa"/>
            <w:right w:w="108" w:type="dxa"/>
          </w:tblCellMar>
        </w:tblPrEx>
        <w:trPr>
          <w:trHeight w:val="851"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0CDD5E2B">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08398B84">
            <w:pPr>
              <w:widowControl/>
              <w:spacing w:line="240" w:lineRule="exact"/>
              <w:jc w:val="center"/>
              <w:rPr>
                <w:rFonts w:ascii="宋体" w:hAnsi="宋体" w:eastAsia="宋体" w:cs="宋体"/>
                <w:kern w:val="0"/>
                <w:sz w:val="18"/>
                <w:szCs w:val="18"/>
              </w:rPr>
            </w:pPr>
          </w:p>
        </w:tc>
        <w:tc>
          <w:tcPr>
            <w:tcW w:w="700" w:type="dxa"/>
            <w:tcBorders>
              <w:top w:val="single" w:color="auto" w:sz="4" w:space="0"/>
              <w:left w:val="single" w:color="auto" w:sz="4" w:space="0"/>
              <w:bottom w:val="single" w:color="auto" w:sz="4" w:space="0"/>
              <w:right w:val="single" w:color="auto" w:sz="4" w:space="0"/>
            </w:tcBorders>
            <w:vAlign w:val="center"/>
          </w:tcPr>
          <w:p w14:paraId="3E6556D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418" w:type="dxa"/>
            <w:gridSpan w:val="2"/>
            <w:tcBorders>
              <w:top w:val="single" w:color="auto" w:sz="4" w:space="0"/>
              <w:left w:val="nil"/>
              <w:bottom w:val="single" w:color="auto" w:sz="4" w:space="0"/>
              <w:right w:val="single" w:color="auto" w:sz="4" w:space="0"/>
            </w:tcBorders>
            <w:vAlign w:val="center"/>
          </w:tcPr>
          <w:p w14:paraId="0FC0C0C2">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w:t>
            </w:r>
          </w:p>
        </w:tc>
        <w:tc>
          <w:tcPr>
            <w:tcW w:w="1701" w:type="dxa"/>
            <w:gridSpan w:val="2"/>
            <w:tcBorders>
              <w:top w:val="single" w:color="auto" w:sz="4" w:space="0"/>
              <w:left w:val="nil"/>
              <w:bottom w:val="single" w:color="auto" w:sz="4" w:space="0"/>
              <w:right w:val="single" w:color="auto" w:sz="4" w:space="0"/>
            </w:tcBorders>
            <w:vAlign w:val="center"/>
          </w:tcPr>
          <w:p w14:paraId="437AB69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w:t>
            </w:r>
          </w:p>
        </w:tc>
        <w:tc>
          <w:tcPr>
            <w:tcW w:w="1142" w:type="dxa"/>
            <w:tcBorders>
              <w:top w:val="single" w:color="auto" w:sz="4" w:space="0"/>
              <w:left w:val="nil"/>
              <w:bottom w:val="single" w:color="auto" w:sz="4" w:space="0"/>
              <w:right w:val="single" w:color="auto" w:sz="4" w:space="0"/>
            </w:tcBorders>
            <w:vAlign w:val="center"/>
          </w:tcPr>
          <w:p w14:paraId="5D41742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435.37</w:t>
            </w:r>
          </w:p>
        </w:tc>
        <w:tc>
          <w:tcPr>
            <w:tcW w:w="567" w:type="dxa"/>
            <w:gridSpan w:val="2"/>
            <w:tcBorders>
              <w:top w:val="single" w:color="auto" w:sz="4" w:space="0"/>
              <w:left w:val="nil"/>
              <w:bottom w:val="single" w:color="auto" w:sz="4" w:space="0"/>
              <w:right w:val="single" w:color="auto" w:sz="4" w:space="0"/>
            </w:tcBorders>
            <w:vAlign w:val="center"/>
          </w:tcPr>
          <w:p w14:paraId="3BA211B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67" w:type="dxa"/>
            <w:gridSpan w:val="2"/>
            <w:tcBorders>
              <w:top w:val="single" w:color="auto" w:sz="4" w:space="0"/>
              <w:left w:val="nil"/>
              <w:bottom w:val="single" w:color="auto" w:sz="4" w:space="0"/>
              <w:right w:val="single" w:color="auto" w:sz="4" w:space="0"/>
            </w:tcBorders>
            <w:vAlign w:val="center"/>
          </w:tcPr>
          <w:p w14:paraId="0FA5B2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14:paraId="5BA9277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总预算600万，年度预算400万</w:t>
            </w:r>
          </w:p>
        </w:tc>
      </w:tr>
      <w:tr w14:paraId="607A20B9">
        <w:tblPrEx>
          <w:tblCellMar>
            <w:top w:w="0" w:type="dxa"/>
            <w:left w:w="108" w:type="dxa"/>
            <w:bottom w:w="0" w:type="dxa"/>
            <w:right w:w="108" w:type="dxa"/>
          </w:tblCellMar>
        </w:tblPrEx>
        <w:trPr>
          <w:trHeight w:val="1274"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1E724354">
            <w:pPr>
              <w:widowControl/>
              <w:spacing w:line="240" w:lineRule="exact"/>
              <w:jc w:val="center"/>
              <w:rPr>
                <w:rFonts w:ascii="宋体" w:hAnsi="宋体" w:eastAsia="宋体" w:cs="宋体"/>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14:paraId="1D23E5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700" w:type="dxa"/>
            <w:tcBorders>
              <w:top w:val="single" w:color="auto" w:sz="4" w:space="0"/>
              <w:left w:val="single" w:color="auto" w:sz="4" w:space="0"/>
              <w:bottom w:val="single" w:color="auto" w:sz="4" w:space="0"/>
              <w:right w:val="single" w:color="auto" w:sz="4" w:space="0"/>
            </w:tcBorders>
            <w:vAlign w:val="center"/>
          </w:tcPr>
          <w:p w14:paraId="6AF8B76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14:paraId="387CA79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418" w:type="dxa"/>
            <w:gridSpan w:val="2"/>
            <w:tcBorders>
              <w:top w:val="single" w:color="auto" w:sz="4" w:space="0"/>
              <w:left w:val="nil"/>
              <w:bottom w:val="single" w:color="auto" w:sz="4" w:space="0"/>
              <w:right w:val="single" w:color="auto" w:sz="4" w:space="0"/>
            </w:tcBorders>
            <w:vAlign w:val="center"/>
          </w:tcPr>
          <w:p w14:paraId="3DCF91B5">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保证煤炭资源充分利用，引导经济健康发展</w:t>
            </w:r>
          </w:p>
        </w:tc>
        <w:tc>
          <w:tcPr>
            <w:tcW w:w="1701" w:type="dxa"/>
            <w:gridSpan w:val="2"/>
            <w:tcBorders>
              <w:top w:val="single" w:color="auto" w:sz="4" w:space="0"/>
              <w:left w:val="nil"/>
              <w:bottom w:val="single" w:color="auto" w:sz="4" w:space="0"/>
              <w:right w:val="single" w:color="auto" w:sz="4" w:space="0"/>
            </w:tcBorders>
            <w:vAlign w:val="center"/>
          </w:tcPr>
          <w:p w14:paraId="51C6220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有利于</w:t>
            </w:r>
          </w:p>
        </w:tc>
        <w:tc>
          <w:tcPr>
            <w:tcW w:w="1142" w:type="dxa"/>
            <w:tcBorders>
              <w:top w:val="single" w:color="auto" w:sz="4" w:space="0"/>
              <w:left w:val="nil"/>
              <w:bottom w:val="single" w:color="auto" w:sz="4" w:space="0"/>
              <w:right w:val="single" w:color="auto" w:sz="4" w:space="0"/>
            </w:tcBorders>
            <w:vAlign w:val="center"/>
          </w:tcPr>
          <w:p w14:paraId="38C5DC1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有利于</w:t>
            </w:r>
          </w:p>
        </w:tc>
        <w:tc>
          <w:tcPr>
            <w:tcW w:w="567" w:type="dxa"/>
            <w:gridSpan w:val="2"/>
            <w:tcBorders>
              <w:top w:val="single" w:color="auto" w:sz="4" w:space="0"/>
              <w:left w:val="nil"/>
              <w:bottom w:val="single" w:color="auto" w:sz="4" w:space="0"/>
              <w:right w:val="single" w:color="auto" w:sz="4" w:space="0"/>
            </w:tcBorders>
            <w:vAlign w:val="center"/>
          </w:tcPr>
          <w:p w14:paraId="6BAD4E2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67" w:type="dxa"/>
            <w:gridSpan w:val="2"/>
            <w:tcBorders>
              <w:top w:val="single" w:color="auto" w:sz="4" w:space="0"/>
              <w:left w:val="nil"/>
              <w:bottom w:val="single" w:color="auto" w:sz="4" w:space="0"/>
              <w:right w:val="single" w:color="auto" w:sz="4" w:space="0"/>
            </w:tcBorders>
            <w:vAlign w:val="center"/>
          </w:tcPr>
          <w:p w14:paraId="139B820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1417" w:type="dxa"/>
            <w:gridSpan w:val="2"/>
            <w:tcBorders>
              <w:top w:val="single" w:color="auto" w:sz="4" w:space="0"/>
              <w:left w:val="nil"/>
              <w:bottom w:val="single" w:color="auto" w:sz="4" w:space="0"/>
              <w:right w:val="single" w:color="auto" w:sz="4" w:space="0"/>
            </w:tcBorders>
            <w:vAlign w:val="center"/>
          </w:tcPr>
          <w:p w14:paraId="5004DDB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未揭露厚煤层，需要进一步提高勘查程度，短期经济效益不明显</w:t>
            </w:r>
          </w:p>
        </w:tc>
      </w:tr>
      <w:tr w14:paraId="323FD509">
        <w:tblPrEx>
          <w:tblCellMar>
            <w:top w:w="0" w:type="dxa"/>
            <w:left w:w="108" w:type="dxa"/>
            <w:bottom w:w="0" w:type="dxa"/>
            <w:right w:w="108" w:type="dxa"/>
          </w:tblCellMar>
        </w:tblPrEx>
        <w:trPr>
          <w:trHeight w:val="934"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77B8A144">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10E76FDB">
            <w:pPr>
              <w:widowControl/>
              <w:spacing w:line="240" w:lineRule="exact"/>
              <w:jc w:val="center"/>
              <w:rPr>
                <w:rFonts w:ascii="宋体" w:hAnsi="宋体" w:eastAsia="宋体" w:cs="宋体"/>
                <w:kern w:val="0"/>
                <w:sz w:val="18"/>
                <w:szCs w:val="18"/>
              </w:rPr>
            </w:pPr>
          </w:p>
        </w:tc>
        <w:tc>
          <w:tcPr>
            <w:tcW w:w="700" w:type="dxa"/>
            <w:tcBorders>
              <w:top w:val="single" w:color="auto" w:sz="4" w:space="0"/>
              <w:left w:val="single" w:color="auto" w:sz="4" w:space="0"/>
              <w:bottom w:val="single" w:color="auto" w:sz="4" w:space="0"/>
              <w:right w:val="single" w:color="auto" w:sz="4" w:space="0"/>
            </w:tcBorders>
            <w:vAlign w:val="center"/>
          </w:tcPr>
          <w:p w14:paraId="54E60AD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50B2F77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418" w:type="dxa"/>
            <w:gridSpan w:val="2"/>
            <w:tcBorders>
              <w:top w:val="single" w:color="auto" w:sz="4" w:space="0"/>
              <w:left w:val="nil"/>
              <w:bottom w:val="single" w:color="auto" w:sz="4" w:space="0"/>
              <w:right w:val="single" w:color="auto" w:sz="4" w:space="0"/>
            </w:tcBorders>
            <w:vAlign w:val="center"/>
          </w:tcPr>
          <w:p w14:paraId="390E404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对社会发展、政府决策提供技术支撑</w:t>
            </w:r>
          </w:p>
        </w:tc>
        <w:tc>
          <w:tcPr>
            <w:tcW w:w="1701" w:type="dxa"/>
            <w:gridSpan w:val="2"/>
            <w:tcBorders>
              <w:top w:val="single" w:color="auto" w:sz="4" w:space="0"/>
              <w:left w:val="nil"/>
              <w:bottom w:val="single" w:color="auto" w:sz="4" w:space="0"/>
              <w:right w:val="single" w:color="auto" w:sz="4" w:space="0"/>
            </w:tcBorders>
            <w:vAlign w:val="center"/>
          </w:tcPr>
          <w:p w14:paraId="3BE240B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对煤炭资源开发利用提出有效建议</w:t>
            </w:r>
          </w:p>
        </w:tc>
        <w:tc>
          <w:tcPr>
            <w:tcW w:w="1142" w:type="dxa"/>
            <w:tcBorders>
              <w:top w:val="single" w:color="auto" w:sz="4" w:space="0"/>
              <w:left w:val="nil"/>
              <w:bottom w:val="single" w:color="auto" w:sz="4" w:space="0"/>
              <w:right w:val="single" w:color="auto" w:sz="4" w:space="0"/>
            </w:tcBorders>
            <w:vAlign w:val="center"/>
          </w:tcPr>
          <w:p w14:paraId="5E3820A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对煤炭资源开发利用提出有效建议</w:t>
            </w:r>
          </w:p>
        </w:tc>
        <w:tc>
          <w:tcPr>
            <w:tcW w:w="567" w:type="dxa"/>
            <w:gridSpan w:val="2"/>
            <w:tcBorders>
              <w:top w:val="single" w:color="auto" w:sz="4" w:space="0"/>
              <w:left w:val="nil"/>
              <w:bottom w:val="single" w:color="auto" w:sz="4" w:space="0"/>
              <w:right w:val="single" w:color="auto" w:sz="4" w:space="0"/>
            </w:tcBorders>
            <w:vAlign w:val="center"/>
          </w:tcPr>
          <w:p w14:paraId="492474B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67" w:type="dxa"/>
            <w:gridSpan w:val="2"/>
            <w:tcBorders>
              <w:top w:val="single" w:color="auto" w:sz="4" w:space="0"/>
              <w:left w:val="nil"/>
              <w:bottom w:val="single" w:color="auto" w:sz="4" w:space="0"/>
              <w:right w:val="single" w:color="auto" w:sz="4" w:space="0"/>
            </w:tcBorders>
            <w:vAlign w:val="center"/>
          </w:tcPr>
          <w:p w14:paraId="13E75FA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1417" w:type="dxa"/>
            <w:gridSpan w:val="2"/>
            <w:tcBorders>
              <w:top w:val="single" w:color="auto" w:sz="4" w:space="0"/>
              <w:left w:val="nil"/>
              <w:bottom w:val="single" w:color="auto" w:sz="4" w:space="0"/>
              <w:right w:val="single" w:color="auto" w:sz="4" w:space="0"/>
            </w:tcBorders>
            <w:vAlign w:val="center"/>
          </w:tcPr>
          <w:p w14:paraId="2A4702DD">
            <w:pPr>
              <w:widowControl/>
              <w:spacing w:line="240" w:lineRule="exact"/>
              <w:jc w:val="center"/>
              <w:rPr>
                <w:rFonts w:ascii="宋体" w:hAnsi="宋体" w:eastAsia="宋体" w:cs="宋体"/>
                <w:kern w:val="0"/>
                <w:sz w:val="18"/>
                <w:szCs w:val="18"/>
              </w:rPr>
            </w:pPr>
          </w:p>
        </w:tc>
      </w:tr>
      <w:tr w14:paraId="0C27FC61">
        <w:tblPrEx>
          <w:tblCellMar>
            <w:top w:w="0" w:type="dxa"/>
            <w:left w:w="108" w:type="dxa"/>
            <w:bottom w:w="0" w:type="dxa"/>
            <w:right w:w="108" w:type="dxa"/>
          </w:tblCellMar>
        </w:tblPrEx>
        <w:trPr>
          <w:trHeight w:val="1132"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60BFD4D4">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46B040B7">
            <w:pPr>
              <w:widowControl/>
              <w:spacing w:line="240" w:lineRule="exact"/>
              <w:jc w:val="center"/>
              <w:rPr>
                <w:rFonts w:ascii="宋体" w:hAnsi="宋体" w:eastAsia="宋体" w:cs="宋体"/>
                <w:kern w:val="0"/>
                <w:sz w:val="18"/>
                <w:szCs w:val="18"/>
              </w:rPr>
            </w:pPr>
          </w:p>
        </w:tc>
        <w:tc>
          <w:tcPr>
            <w:tcW w:w="700" w:type="dxa"/>
            <w:tcBorders>
              <w:top w:val="single" w:color="auto" w:sz="4" w:space="0"/>
              <w:left w:val="single" w:color="auto" w:sz="4" w:space="0"/>
              <w:bottom w:val="single" w:color="auto" w:sz="4" w:space="0"/>
              <w:right w:val="single" w:color="auto" w:sz="4" w:space="0"/>
            </w:tcBorders>
            <w:vAlign w:val="center"/>
          </w:tcPr>
          <w:p w14:paraId="713FD8D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140CEA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418" w:type="dxa"/>
            <w:gridSpan w:val="2"/>
            <w:tcBorders>
              <w:top w:val="single" w:color="auto" w:sz="4" w:space="0"/>
              <w:left w:val="nil"/>
              <w:bottom w:val="single" w:color="auto" w:sz="4" w:space="0"/>
              <w:right w:val="single" w:color="auto" w:sz="4" w:space="0"/>
            </w:tcBorders>
            <w:vAlign w:val="center"/>
          </w:tcPr>
          <w:p w14:paraId="7E11ADA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恢复良好生态环境</w:t>
            </w:r>
          </w:p>
        </w:tc>
        <w:tc>
          <w:tcPr>
            <w:tcW w:w="1701" w:type="dxa"/>
            <w:gridSpan w:val="2"/>
            <w:tcBorders>
              <w:top w:val="single" w:color="auto" w:sz="4" w:space="0"/>
              <w:left w:val="nil"/>
              <w:bottom w:val="single" w:color="auto" w:sz="4" w:space="0"/>
              <w:right w:val="single" w:color="auto" w:sz="4" w:space="0"/>
            </w:tcBorders>
            <w:vAlign w:val="center"/>
          </w:tcPr>
          <w:p w14:paraId="530663D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有利于</w:t>
            </w:r>
          </w:p>
        </w:tc>
        <w:tc>
          <w:tcPr>
            <w:tcW w:w="1142" w:type="dxa"/>
            <w:tcBorders>
              <w:top w:val="single" w:color="auto" w:sz="4" w:space="0"/>
              <w:left w:val="nil"/>
              <w:bottom w:val="single" w:color="auto" w:sz="4" w:space="0"/>
              <w:right w:val="single" w:color="auto" w:sz="4" w:space="0"/>
            </w:tcBorders>
            <w:vAlign w:val="center"/>
          </w:tcPr>
          <w:p w14:paraId="04EFA482">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有利于</w:t>
            </w:r>
          </w:p>
        </w:tc>
        <w:tc>
          <w:tcPr>
            <w:tcW w:w="567" w:type="dxa"/>
            <w:gridSpan w:val="2"/>
            <w:tcBorders>
              <w:top w:val="single" w:color="auto" w:sz="4" w:space="0"/>
              <w:left w:val="nil"/>
              <w:bottom w:val="single" w:color="auto" w:sz="4" w:space="0"/>
              <w:right w:val="single" w:color="auto" w:sz="4" w:space="0"/>
            </w:tcBorders>
            <w:vAlign w:val="center"/>
          </w:tcPr>
          <w:p w14:paraId="28C732F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567" w:type="dxa"/>
            <w:gridSpan w:val="2"/>
            <w:tcBorders>
              <w:top w:val="single" w:color="auto" w:sz="4" w:space="0"/>
              <w:left w:val="nil"/>
              <w:bottom w:val="single" w:color="auto" w:sz="4" w:space="0"/>
              <w:right w:val="single" w:color="auto" w:sz="4" w:space="0"/>
            </w:tcBorders>
            <w:vAlign w:val="center"/>
          </w:tcPr>
          <w:p w14:paraId="2B9BBFC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14:paraId="2C646B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对部分草场进行临时占用，按照绿色勘查要求进行恢复</w:t>
            </w:r>
          </w:p>
        </w:tc>
      </w:tr>
      <w:tr w14:paraId="17081E60">
        <w:tblPrEx>
          <w:tblCellMar>
            <w:top w:w="0" w:type="dxa"/>
            <w:left w:w="108" w:type="dxa"/>
            <w:bottom w:w="0" w:type="dxa"/>
            <w:right w:w="108" w:type="dxa"/>
          </w:tblCellMar>
        </w:tblPrEx>
        <w:trPr>
          <w:trHeight w:val="1070"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51B75612">
            <w:pPr>
              <w:widowControl/>
              <w:spacing w:line="240" w:lineRule="exact"/>
              <w:jc w:val="center"/>
              <w:rPr>
                <w:rFonts w:ascii="宋体" w:hAnsi="宋体" w:eastAsia="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764EA507">
            <w:pPr>
              <w:widowControl/>
              <w:spacing w:line="240" w:lineRule="exact"/>
              <w:jc w:val="center"/>
              <w:rPr>
                <w:rFonts w:ascii="宋体" w:hAnsi="宋体" w:eastAsia="宋体" w:cs="宋体"/>
                <w:kern w:val="0"/>
                <w:sz w:val="18"/>
                <w:szCs w:val="18"/>
              </w:rPr>
            </w:pPr>
          </w:p>
        </w:tc>
        <w:tc>
          <w:tcPr>
            <w:tcW w:w="700" w:type="dxa"/>
            <w:tcBorders>
              <w:top w:val="single" w:color="auto" w:sz="4" w:space="0"/>
              <w:left w:val="single" w:color="auto" w:sz="4" w:space="0"/>
              <w:bottom w:val="single" w:color="auto" w:sz="4" w:space="0"/>
              <w:right w:val="single" w:color="auto" w:sz="4" w:space="0"/>
            </w:tcBorders>
            <w:vAlign w:val="center"/>
          </w:tcPr>
          <w:p w14:paraId="562146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1418" w:type="dxa"/>
            <w:gridSpan w:val="2"/>
            <w:tcBorders>
              <w:top w:val="single" w:color="auto" w:sz="4" w:space="0"/>
              <w:left w:val="nil"/>
              <w:bottom w:val="single" w:color="auto" w:sz="4" w:space="0"/>
              <w:right w:val="single" w:color="auto" w:sz="4" w:space="0"/>
            </w:tcBorders>
            <w:vAlign w:val="center"/>
          </w:tcPr>
          <w:p w14:paraId="096306E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社会经济可持续发展</w:t>
            </w:r>
          </w:p>
        </w:tc>
        <w:tc>
          <w:tcPr>
            <w:tcW w:w="1701" w:type="dxa"/>
            <w:gridSpan w:val="2"/>
            <w:tcBorders>
              <w:top w:val="single" w:color="auto" w:sz="4" w:space="0"/>
              <w:left w:val="nil"/>
              <w:bottom w:val="single" w:color="auto" w:sz="4" w:space="0"/>
              <w:right w:val="single" w:color="auto" w:sz="4" w:space="0"/>
            </w:tcBorders>
            <w:vAlign w:val="center"/>
          </w:tcPr>
          <w:p w14:paraId="096DC0FC">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有利于</w:t>
            </w:r>
          </w:p>
        </w:tc>
        <w:tc>
          <w:tcPr>
            <w:tcW w:w="1142" w:type="dxa"/>
            <w:tcBorders>
              <w:top w:val="single" w:color="auto" w:sz="4" w:space="0"/>
              <w:left w:val="nil"/>
              <w:bottom w:val="single" w:color="auto" w:sz="4" w:space="0"/>
              <w:right w:val="single" w:color="auto" w:sz="4" w:space="0"/>
            </w:tcBorders>
            <w:vAlign w:val="center"/>
          </w:tcPr>
          <w:p w14:paraId="5511095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有利于</w:t>
            </w:r>
          </w:p>
        </w:tc>
        <w:tc>
          <w:tcPr>
            <w:tcW w:w="567" w:type="dxa"/>
            <w:gridSpan w:val="2"/>
            <w:tcBorders>
              <w:top w:val="single" w:color="auto" w:sz="4" w:space="0"/>
              <w:left w:val="nil"/>
              <w:bottom w:val="single" w:color="auto" w:sz="4" w:space="0"/>
              <w:right w:val="single" w:color="auto" w:sz="4" w:space="0"/>
            </w:tcBorders>
            <w:vAlign w:val="center"/>
          </w:tcPr>
          <w:p w14:paraId="4E33444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567" w:type="dxa"/>
            <w:gridSpan w:val="2"/>
            <w:tcBorders>
              <w:top w:val="single" w:color="auto" w:sz="4" w:space="0"/>
              <w:left w:val="nil"/>
              <w:bottom w:val="single" w:color="auto" w:sz="4" w:space="0"/>
              <w:right w:val="single" w:color="auto" w:sz="4" w:space="0"/>
            </w:tcBorders>
            <w:vAlign w:val="center"/>
          </w:tcPr>
          <w:p w14:paraId="1073A71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1417" w:type="dxa"/>
            <w:gridSpan w:val="2"/>
            <w:tcBorders>
              <w:top w:val="single" w:color="auto" w:sz="4" w:space="0"/>
              <w:left w:val="nil"/>
              <w:bottom w:val="single" w:color="auto" w:sz="4" w:space="0"/>
              <w:right w:val="single" w:color="auto" w:sz="4" w:space="0"/>
            </w:tcBorders>
            <w:vAlign w:val="center"/>
          </w:tcPr>
          <w:p w14:paraId="09126246">
            <w:pPr>
              <w:widowControl/>
              <w:spacing w:line="240" w:lineRule="exact"/>
              <w:jc w:val="center"/>
              <w:rPr>
                <w:rFonts w:ascii="宋体" w:hAnsi="宋体" w:eastAsia="宋体" w:cs="宋体"/>
                <w:kern w:val="0"/>
                <w:sz w:val="18"/>
                <w:szCs w:val="18"/>
              </w:rPr>
            </w:pPr>
          </w:p>
        </w:tc>
      </w:tr>
      <w:tr w14:paraId="611E0810">
        <w:tblPrEx>
          <w:tblCellMar>
            <w:top w:w="0" w:type="dxa"/>
            <w:left w:w="108" w:type="dxa"/>
            <w:bottom w:w="0" w:type="dxa"/>
            <w:right w:w="108" w:type="dxa"/>
          </w:tblCellMar>
        </w:tblPrEx>
        <w:trPr>
          <w:trHeight w:val="1219"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14:paraId="5D54FDDA">
            <w:pPr>
              <w:widowControl/>
              <w:spacing w:line="240" w:lineRule="exact"/>
              <w:jc w:val="center"/>
              <w:rPr>
                <w:rFonts w:ascii="宋体" w:hAnsi="宋体" w:eastAsia="宋体" w:cs="宋体"/>
                <w:kern w:val="0"/>
                <w:sz w:val="18"/>
                <w:szCs w:val="18"/>
              </w:rPr>
            </w:pPr>
          </w:p>
        </w:tc>
        <w:tc>
          <w:tcPr>
            <w:tcW w:w="980" w:type="dxa"/>
            <w:tcBorders>
              <w:top w:val="single" w:color="auto" w:sz="4" w:space="0"/>
              <w:left w:val="single" w:color="auto" w:sz="4" w:space="0"/>
              <w:bottom w:val="single" w:color="auto" w:sz="4" w:space="0"/>
              <w:right w:val="single" w:color="auto" w:sz="4" w:space="0"/>
            </w:tcBorders>
            <w:vAlign w:val="center"/>
          </w:tcPr>
          <w:p w14:paraId="1C1CAAB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1B1744B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700" w:type="dxa"/>
            <w:tcBorders>
              <w:top w:val="single" w:color="auto" w:sz="4" w:space="0"/>
              <w:left w:val="single" w:color="auto" w:sz="4" w:space="0"/>
              <w:bottom w:val="single" w:color="auto" w:sz="4" w:space="0"/>
              <w:right w:val="single" w:color="auto" w:sz="4" w:space="0"/>
            </w:tcBorders>
            <w:vAlign w:val="center"/>
          </w:tcPr>
          <w:p w14:paraId="6862A79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418" w:type="dxa"/>
            <w:gridSpan w:val="2"/>
            <w:tcBorders>
              <w:top w:val="single" w:color="auto" w:sz="4" w:space="0"/>
              <w:left w:val="nil"/>
              <w:bottom w:val="single" w:color="auto" w:sz="4" w:space="0"/>
              <w:right w:val="single" w:color="auto" w:sz="4" w:space="0"/>
            </w:tcBorders>
            <w:vAlign w:val="center"/>
          </w:tcPr>
          <w:p w14:paraId="29165414">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受当地居民及政府相关部门一致好评</w:t>
            </w:r>
          </w:p>
        </w:tc>
        <w:tc>
          <w:tcPr>
            <w:tcW w:w="1701" w:type="dxa"/>
            <w:gridSpan w:val="2"/>
            <w:tcBorders>
              <w:top w:val="single" w:color="auto" w:sz="4" w:space="0"/>
              <w:left w:val="nil"/>
              <w:bottom w:val="single" w:color="auto" w:sz="4" w:space="0"/>
              <w:right w:val="single" w:color="auto" w:sz="4" w:space="0"/>
            </w:tcBorders>
            <w:vAlign w:val="center"/>
          </w:tcPr>
          <w:p w14:paraId="0A5297D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w:t>
            </w:r>
          </w:p>
        </w:tc>
        <w:tc>
          <w:tcPr>
            <w:tcW w:w="1142" w:type="dxa"/>
            <w:tcBorders>
              <w:top w:val="single" w:color="auto" w:sz="4" w:space="0"/>
              <w:left w:val="nil"/>
              <w:bottom w:val="single" w:color="auto" w:sz="4" w:space="0"/>
              <w:right w:val="single" w:color="auto" w:sz="4" w:space="0"/>
            </w:tcBorders>
            <w:vAlign w:val="center"/>
          </w:tcPr>
          <w:p w14:paraId="0410971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w:t>
            </w:r>
          </w:p>
        </w:tc>
        <w:tc>
          <w:tcPr>
            <w:tcW w:w="567" w:type="dxa"/>
            <w:gridSpan w:val="2"/>
            <w:tcBorders>
              <w:top w:val="single" w:color="auto" w:sz="4" w:space="0"/>
              <w:left w:val="nil"/>
              <w:bottom w:val="single" w:color="auto" w:sz="4" w:space="0"/>
              <w:right w:val="single" w:color="auto" w:sz="4" w:space="0"/>
            </w:tcBorders>
            <w:vAlign w:val="center"/>
          </w:tcPr>
          <w:p w14:paraId="199321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67" w:type="dxa"/>
            <w:gridSpan w:val="2"/>
            <w:tcBorders>
              <w:top w:val="single" w:color="auto" w:sz="4" w:space="0"/>
              <w:left w:val="nil"/>
              <w:bottom w:val="single" w:color="auto" w:sz="4" w:space="0"/>
              <w:right w:val="single" w:color="auto" w:sz="4" w:space="0"/>
            </w:tcBorders>
            <w:vAlign w:val="center"/>
          </w:tcPr>
          <w:p w14:paraId="52517F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14:paraId="7C1CF8E0">
            <w:pPr>
              <w:widowControl/>
              <w:spacing w:line="240" w:lineRule="exact"/>
              <w:jc w:val="center"/>
              <w:rPr>
                <w:rFonts w:ascii="宋体" w:hAnsi="宋体" w:eastAsia="宋体" w:cs="宋体"/>
                <w:kern w:val="0"/>
                <w:sz w:val="18"/>
                <w:szCs w:val="18"/>
              </w:rPr>
            </w:pPr>
          </w:p>
        </w:tc>
      </w:tr>
      <w:tr w14:paraId="3E12EB2A">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14:paraId="509D80E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single" w:color="auto" w:sz="4" w:space="0"/>
              <w:left w:val="nil"/>
              <w:bottom w:val="single" w:color="auto" w:sz="4" w:space="0"/>
              <w:right w:val="single" w:color="auto" w:sz="4" w:space="0"/>
            </w:tcBorders>
            <w:vAlign w:val="center"/>
          </w:tcPr>
          <w:p w14:paraId="5F59F082">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14:paraId="272E1CCC">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89</w:t>
            </w:r>
          </w:p>
        </w:tc>
        <w:tc>
          <w:tcPr>
            <w:tcW w:w="1417" w:type="dxa"/>
            <w:gridSpan w:val="2"/>
            <w:tcBorders>
              <w:top w:val="single" w:color="auto" w:sz="4" w:space="0"/>
              <w:left w:val="nil"/>
              <w:bottom w:val="single" w:color="auto" w:sz="4" w:space="0"/>
              <w:right w:val="single" w:color="auto" w:sz="4" w:space="0"/>
            </w:tcBorders>
            <w:vAlign w:val="center"/>
          </w:tcPr>
          <w:p w14:paraId="2ABE96D9">
            <w:pPr>
              <w:widowControl/>
              <w:spacing w:line="240" w:lineRule="exact"/>
              <w:jc w:val="center"/>
              <w:rPr>
                <w:rFonts w:ascii="宋体" w:hAnsi="宋体" w:eastAsia="宋体" w:cs="宋体"/>
                <w:kern w:val="0"/>
                <w:sz w:val="18"/>
                <w:szCs w:val="18"/>
              </w:rPr>
            </w:pPr>
          </w:p>
        </w:tc>
      </w:tr>
    </w:tbl>
    <w:p w14:paraId="0A47C718">
      <w:pPr>
        <w:spacing w:line="540" w:lineRule="exact"/>
        <w:ind w:firstLine="494" w:firstLineChars="181"/>
        <w:rPr>
          <w:rFonts w:ascii="仿宋_GB2312" w:hAnsi="楷体"/>
          <w:b/>
          <w:spacing w:val="-4"/>
          <w:sz w:val="28"/>
          <w:szCs w:val="28"/>
        </w:rPr>
      </w:pPr>
    </w:p>
    <w:p w14:paraId="2383C8F1"/>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Arial Unicode MS">
    <w:altName w:val="Arial"/>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Bernard MT Condensed">
    <w:altName w:val="Segoe Print"/>
    <w:panose1 w:val="02050806060905020404"/>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MV Boli">
    <w:panose1 w:val="02000500030200090000"/>
    <w:charset w:val="00"/>
    <w:family w:val="auto"/>
    <w:pitch w:val="default"/>
    <w:sig w:usb0="00000003" w:usb1="00000000" w:usb2="00000100" w:usb3="00000000" w:csb0="0000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0DA3"/>
    <w:rsid w:val="00124C2B"/>
    <w:rsid w:val="00253E0D"/>
    <w:rsid w:val="00267E8D"/>
    <w:rsid w:val="002B4CC8"/>
    <w:rsid w:val="002C4B72"/>
    <w:rsid w:val="002E53E2"/>
    <w:rsid w:val="002F6E2A"/>
    <w:rsid w:val="00356732"/>
    <w:rsid w:val="00367D65"/>
    <w:rsid w:val="003C1F62"/>
    <w:rsid w:val="003D4A47"/>
    <w:rsid w:val="003D71CD"/>
    <w:rsid w:val="00477BA8"/>
    <w:rsid w:val="004932E3"/>
    <w:rsid w:val="00497D4D"/>
    <w:rsid w:val="005063CC"/>
    <w:rsid w:val="00510C4A"/>
    <w:rsid w:val="00623469"/>
    <w:rsid w:val="00631578"/>
    <w:rsid w:val="0063565E"/>
    <w:rsid w:val="00662F2C"/>
    <w:rsid w:val="006A7361"/>
    <w:rsid w:val="006F1136"/>
    <w:rsid w:val="00707179"/>
    <w:rsid w:val="00731212"/>
    <w:rsid w:val="00753403"/>
    <w:rsid w:val="00765FF9"/>
    <w:rsid w:val="007669C8"/>
    <w:rsid w:val="007968EE"/>
    <w:rsid w:val="007B0DA3"/>
    <w:rsid w:val="00882D2E"/>
    <w:rsid w:val="008A4DE9"/>
    <w:rsid w:val="008B2076"/>
    <w:rsid w:val="008E01EA"/>
    <w:rsid w:val="009222C8"/>
    <w:rsid w:val="00993F6D"/>
    <w:rsid w:val="00997A20"/>
    <w:rsid w:val="009A0949"/>
    <w:rsid w:val="009E4E80"/>
    <w:rsid w:val="009F00D5"/>
    <w:rsid w:val="009F28CE"/>
    <w:rsid w:val="00A2758E"/>
    <w:rsid w:val="00A62925"/>
    <w:rsid w:val="00A6675C"/>
    <w:rsid w:val="00A81C06"/>
    <w:rsid w:val="00B30DFE"/>
    <w:rsid w:val="00B52DCD"/>
    <w:rsid w:val="00B60E52"/>
    <w:rsid w:val="00BA6EF2"/>
    <w:rsid w:val="00BD696E"/>
    <w:rsid w:val="00C95465"/>
    <w:rsid w:val="00CC2D23"/>
    <w:rsid w:val="00CC2EB8"/>
    <w:rsid w:val="00D5571C"/>
    <w:rsid w:val="00D677E7"/>
    <w:rsid w:val="00E17DB9"/>
    <w:rsid w:val="00E20949"/>
    <w:rsid w:val="00E77C69"/>
    <w:rsid w:val="00E85897"/>
    <w:rsid w:val="00EE45E9"/>
    <w:rsid w:val="00EF0EB1"/>
    <w:rsid w:val="00F2539F"/>
    <w:rsid w:val="00F50B1B"/>
    <w:rsid w:val="0F9A029E"/>
    <w:rsid w:val="4D261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link w:val="1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eastAsia="宋体"/>
      <w:sz w:val="21"/>
      <w:szCs w:val="20"/>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Strong"/>
    <w:basedOn w:val="7"/>
    <w:qFormat/>
    <w:uiPriority w:val="0"/>
    <w:rPr>
      <w:b/>
      <w:bCs/>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标题 2 Char"/>
    <w:basedOn w:val="7"/>
    <w:link w:val="2"/>
    <w:qFormat/>
    <w:uiPriority w:val="0"/>
    <w:rPr>
      <w:rFonts w:ascii="Arial" w:hAnsi="Arial" w:eastAsia="黑体" w:cs="Times New Roman"/>
      <w:b/>
      <w:sz w:val="3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10905</Words>
  <Characters>11850</Characters>
  <Lines>89</Lines>
  <Paragraphs>25</Paragraphs>
  <TotalTime>581</TotalTime>
  <ScaleCrop>false</ScaleCrop>
  <LinksUpToDate>false</LinksUpToDate>
  <CharactersWithSpaces>11919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2020-04-09T05:23:00Z</dcterms:created>
  <dc:creator>豆 龙辉</dc:creator>
  <cp:lastModifiedBy>星之痕</cp:lastModifiedBy>
  <cp:lastPrinted>2020-04-14T02:59:00Z</cp:lastPrinted>
  <dcterms:modified xsi:type="dcterms:W3CDTF">2025-02-08T04:01:59Z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eyJoZGlkIjoiMmRiOTUxMzk2YjM2MzgwNGY2YjUyMDgyYzk4MWM5YTgiLCJ1c2VySWQiOiIyMDgxMjExMDEifQ==</vt:lpwstr>
  </property>
  <property fmtid="{D5CDD505-2E9C-101B-9397-08002B2CF9AE}" pid="3" name="KSOProductBuildVer">
    <vt:lpwstr>2052-12.1.0.19770</vt:lpwstr>
  </property>
  <property fmtid="{D5CDD505-2E9C-101B-9397-08002B2CF9AE}" pid="4" name="ICV">
    <vt:lpwstr>A061308B5EE844F28A171596FEAAEB17_12</vt:lpwstr>
  </property>
</Properties>
</file>