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7DD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bdr w:val="none" w:color="auto" w:sz="0" w:space="0"/>
          <w14:textFill>
            <w14:solidFill>
              <w14:schemeClr w14:val="tx1"/>
            </w14:solidFill>
          </w14:textFill>
        </w:rPr>
        <w:t>新疆维吾尔自治区煤田地质局2017年部门预算公开补充</w:t>
      </w:r>
    </w:p>
    <w:p w14:paraId="3314308F">
      <w:pPr>
        <w:ind w:firstLine="400" w:firstLineChars="200"/>
      </w:pP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新疆维吾尔自治区煤田地质局2018年部门预算公开补充自治区煤田地质局2017年部门预算及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eastAsia="zh-CN"/>
        </w:rPr>
        <w:t>“三公”经费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信息公开报告根据自治区财政厅《关于下达自治区本级预算单位2017年部门预算的通知》（新财预〔2017〕1号）相关规定，现将自治区煤田地质局2017年部门预算及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eastAsia="zh-CN"/>
        </w:rPr>
        <w:t>“三公”经费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信息公开如下：一、部门基本情况（一）主要职能新疆维吾尔自治区煤田地质局主要职能为：1、研究制定全区煤炭、煤层气及相关矿产资源的中长期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B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26</Characters>
  <Lines>0</Lines>
  <Paragraphs>0</Paragraphs>
  <TotalTime>2</TotalTime>
  <ScaleCrop>false</ScaleCrop>
  <LinksUpToDate>false</LinksUpToDate>
  <CharactersWithSpaces>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2025-02-08T02:32:49Z</dcterms:created>
  <dc:creator>sw</dc:creator>
  <cp:lastModifiedBy>牧Guang</cp:lastModifiedBy>
  <dcterms:modified xsi:type="dcterms:W3CDTF">2025-02-08T02:35:18Z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eyJoZGlkIjoiMWIyMDlmZGI4OTUyNmUwNTE2NDgzZDZjYzcwNTFjOTMiLCJ1c2VySWQiOiIxMjA3NjY5NTkxIn0=</vt:lpwstr>
  </property>
  <property fmtid="{D5CDD505-2E9C-101B-9397-08002B2CF9AE}" pid="4" name="ICV">
    <vt:lpwstr>AFD8E50731D84AC9A9584CC19139CBC7_12</vt:lpwstr>
  </property>
</Properties>
</file>